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EA291" w14:textId="77777777" w:rsidR="00B51F39" w:rsidRDefault="00B51F39">
      <w:pPr>
        <w:pBdr>
          <w:top w:val="single" w:sz="4" w:space="0" w:color="auto"/>
          <w:left w:val="single" w:sz="4" w:space="4" w:color="auto"/>
          <w:bottom w:val="single" w:sz="4" w:space="1" w:color="auto"/>
          <w:right w:val="single" w:sz="4" w:space="4" w:color="auto"/>
        </w:pBdr>
        <w:jc w:val="center"/>
        <w:rPr>
          <w:rFonts w:ascii="Arial" w:hAnsi="Arial" w:cs="Arial"/>
          <w:b/>
          <w:sz w:val="28"/>
          <w:szCs w:val="28"/>
        </w:rPr>
      </w:pPr>
    </w:p>
    <w:p w14:paraId="08FF92EF" w14:textId="77777777" w:rsidR="00B51F39" w:rsidRDefault="00B51F39" w:rsidP="00404235">
      <w:pPr>
        <w:pBdr>
          <w:top w:val="single" w:sz="4" w:space="0" w:color="auto"/>
          <w:left w:val="single" w:sz="4" w:space="4" w:color="auto"/>
          <w:bottom w:val="single" w:sz="4" w:space="1" w:color="auto"/>
          <w:right w:val="single" w:sz="4" w:space="4" w:color="auto"/>
        </w:pBdr>
        <w:jc w:val="center"/>
        <w:outlineLvl w:val="0"/>
        <w:rPr>
          <w:rFonts w:ascii="Arial" w:hAnsi="Arial" w:cs="Arial"/>
          <w:b/>
          <w:sz w:val="28"/>
          <w:szCs w:val="28"/>
        </w:rPr>
      </w:pPr>
      <w:r>
        <w:rPr>
          <w:rFonts w:ascii="Arial" w:hAnsi="Arial" w:cs="Arial"/>
          <w:b/>
          <w:sz w:val="28"/>
          <w:szCs w:val="28"/>
        </w:rPr>
        <w:t>Se publica para comentarios del público el siguiente:</w:t>
      </w:r>
    </w:p>
    <w:p w14:paraId="4FB490C6" w14:textId="77777777" w:rsidR="00B51F39" w:rsidRDefault="00B51F39">
      <w:pPr>
        <w:pBdr>
          <w:top w:val="single" w:sz="4" w:space="0" w:color="auto"/>
          <w:left w:val="single" w:sz="4" w:space="4" w:color="auto"/>
          <w:bottom w:val="single" w:sz="4" w:space="1" w:color="auto"/>
          <w:right w:val="single" w:sz="4" w:space="4" w:color="auto"/>
        </w:pBdr>
        <w:rPr>
          <w:rFonts w:ascii="Arial" w:hAnsi="Arial" w:cs="Arial"/>
          <w:szCs w:val="24"/>
        </w:rPr>
      </w:pPr>
    </w:p>
    <w:p w14:paraId="5D22CD60" w14:textId="77777777" w:rsidR="00B51F39" w:rsidRDefault="00B51F39">
      <w:pPr>
        <w:pBdr>
          <w:top w:val="single" w:sz="4" w:space="0" w:color="auto"/>
          <w:left w:val="single" w:sz="4" w:space="4" w:color="auto"/>
          <w:bottom w:val="single" w:sz="4" w:space="1" w:color="auto"/>
          <w:right w:val="single" w:sz="4" w:space="4" w:color="auto"/>
        </w:pBdr>
        <w:rPr>
          <w:rFonts w:ascii="Arial" w:hAnsi="Arial" w:cs="Arial"/>
          <w:b/>
          <w:bCs/>
        </w:rPr>
      </w:pPr>
    </w:p>
    <w:p w14:paraId="1B2DC6BA" w14:textId="24418645" w:rsidR="00B51F39" w:rsidRDefault="00B51F39" w:rsidP="008B046D">
      <w:pPr>
        <w:pBdr>
          <w:top w:val="single" w:sz="4" w:space="0" w:color="auto"/>
          <w:left w:val="single" w:sz="4" w:space="4" w:color="auto"/>
          <w:bottom w:val="single" w:sz="4" w:space="1" w:color="auto"/>
          <w:right w:val="single" w:sz="4" w:space="4" w:color="auto"/>
        </w:pBdr>
        <w:jc w:val="both"/>
        <w:rPr>
          <w:rFonts w:ascii="Arial" w:hAnsi="Arial" w:cs="Arial"/>
          <w:bCs/>
          <w:sz w:val="24"/>
          <w:szCs w:val="24"/>
        </w:rPr>
      </w:pPr>
      <w:r>
        <w:rPr>
          <w:rFonts w:ascii="Arial" w:hAnsi="Arial" w:cs="Arial"/>
          <w:b/>
          <w:bCs/>
          <w:sz w:val="24"/>
          <w:szCs w:val="24"/>
        </w:rPr>
        <w:t xml:space="preserve">PROYECTO </w:t>
      </w:r>
      <w:r w:rsidRPr="008B2EE6">
        <w:rPr>
          <w:rFonts w:ascii="Arial" w:hAnsi="Arial" w:cs="Arial"/>
          <w:b/>
          <w:bCs/>
          <w:sz w:val="24"/>
          <w:szCs w:val="24"/>
        </w:rPr>
        <w:t xml:space="preserve">DE </w:t>
      </w:r>
      <w:r w:rsidR="008B2EE6" w:rsidRPr="008B2EE6">
        <w:rPr>
          <w:rFonts w:ascii="Arial" w:hAnsi="Arial" w:cs="Arial"/>
          <w:b/>
          <w:bCs/>
          <w:sz w:val="24"/>
          <w:szCs w:val="24"/>
        </w:rPr>
        <w:t>CIRCULAR EXTERNA</w:t>
      </w:r>
      <w:r>
        <w:rPr>
          <w:rFonts w:ascii="Arial" w:hAnsi="Arial" w:cs="Arial"/>
          <w:b/>
          <w:bCs/>
          <w:sz w:val="24"/>
          <w:szCs w:val="24"/>
        </w:rPr>
        <w:t>:</w:t>
      </w:r>
      <w:r w:rsidRPr="006B29A5">
        <w:rPr>
          <w:rFonts w:ascii="Arial" w:hAnsi="Arial" w:cs="Arial"/>
          <w:b/>
          <w:bCs/>
          <w:sz w:val="24"/>
          <w:szCs w:val="24"/>
        </w:rPr>
        <w:t xml:space="preserve"> </w:t>
      </w:r>
      <w:r w:rsidR="008948E8" w:rsidRPr="008948E8">
        <w:rPr>
          <w:rFonts w:ascii="Arial" w:hAnsi="Arial" w:cs="Arial"/>
          <w:sz w:val="24"/>
          <w:szCs w:val="24"/>
        </w:rPr>
        <w:t xml:space="preserve">Instrucciones relacionadas con la ponderación de los créditos de libranza </w:t>
      </w:r>
      <w:r w:rsidR="008B046D" w:rsidRPr="008B046D">
        <w:rPr>
          <w:rFonts w:ascii="Arial" w:hAnsi="Arial" w:cs="Arial"/>
          <w:sz w:val="24"/>
          <w:szCs w:val="24"/>
          <w:lang w:val="es-CO"/>
        </w:rPr>
        <w:t xml:space="preserve">o </w:t>
      </w:r>
      <w:r w:rsidR="008B046D">
        <w:rPr>
          <w:rFonts w:ascii="Arial" w:hAnsi="Arial" w:cs="Arial"/>
          <w:sz w:val="24"/>
          <w:szCs w:val="24"/>
          <w:lang w:val="es-CO"/>
        </w:rPr>
        <w:t xml:space="preserve">descuento </w:t>
      </w:r>
      <w:r w:rsidR="008B046D" w:rsidRPr="008B046D">
        <w:rPr>
          <w:rFonts w:ascii="Arial" w:hAnsi="Arial" w:cs="Arial"/>
          <w:sz w:val="24"/>
          <w:szCs w:val="24"/>
          <w:lang w:val="es-CO"/>
        </w:rPr>
        <w:t xml:space="preserve">directo </w:t>
      </w:r>
      <w:r w:rsidR="008948E8" w:rsidRPr="008948E8">
        <w:rPr>
          <w:rFonts w:ascii="Arial" w:hAnsi="Arial" w:cs="Arial"/>
          <w:sz w:val="24"/>
          <w:szCs w:val="24"/>
        </w:rPr>
        <w:t xml:space="preserve">para efectos de </w:t>
      </w:r>
      <w:r w:rsidR="009E71C5">
        <w:rPr>
          <w:rFonts w:ascii="Arial" w:hAnsi="Arial" w:cs="Arial"/>
          <w:sz w:val="24"/>
          <w:szCs w:val="24"/>
        </w:rPr>
        <w:t xml:space="preserve">la relación de </w:t>
      </w:r>
      <w:r w:rsidR="008948E8" w:rsidRPr="008948E8">
        <w:rPr>
          <w:rFonts w:ascii="Arial" w:hAnsi="Arial" w:cs="Arial"/>
          <w:sz w:val="24"/>
          <w:szCs w:val="24"/>
        </w:rPr>
        <w:t xml:space="preserve">solvencia </w:t>
      </w:r>
      <w:r w:rsidR="009E71C5">
        <w:rPr>
          <w:rFonts w:ascii="Arial" w:hAnsi="Arial" w:cs="Arial"/>
          <w:sz w:val="24"/>
          <w:szCs w:val="24"/>
        </w:rPr>
        <w:t xml:space="preserve">de los </w:t>
      </w:r>
      <w:r w:rsidR="00297A84">
        <w:rPr>
          <w:rFonts w:ascii="Arial" w:hAnsi="Arial" w:cs="Arial"/>
          <w:sz w:val="24"/>
          <w:szCs w:val="24"/>
        </w:rPr>
        <w:t>e</w:t>
      </w:r>
      <w:r w:rsidR="009E71C5">
        <w:rPr>
          <w:rFonts w:ascii="Arial" w:hAnsi="Arial" w:cs="Arial"/>
          <w:sz w:val="24"/>
          <w:szCs w:val="24"/>
        </w:rPr>
        <w:t xml:space="preserve">stablecimientos de </w:t>
      </w:r>
      <w:r w:rsidR="00297A84">
        <w:rPr>
          <w:rFonts w:ascii="Arial" w:hAnsi="Arial" w:cs="Arial"/>
          <w:sz w:val="24"/>
          <w:szCs w:val="24"/>
        </w:rPr>
        <w:t>c</w:t>
      </w:r>
      <w:r w:rsidR="009E71C5">
        <w:rPr>
          <w:rFonts w:ascii="Arial" w:hAnsi="Arial" w:cs="Arial"/>
          <w:sz w:val="24"/>
          <w:szCs w:val="24"/>
        </w:rPr>
        <w:t xml:space="preserve">rédito </w:t>
      </w:r>
      <w:r w:rsidR="008948E8" w:rsidRPr="008948E8">
        <w:rPr>
          <w:rFonts w:ascii="Arial" w:hAnsi="Arial" w:cs="Arial"/>
          <w:sz w:val="24"/>
          <w:szCs w:val="24"/>
        </w:rPr>
        <w:t>y con el régimen de grandes exposiciones, de acuerdo con lo previsto en el Decreto 0573 de 2025</w:t>
      </w:r>
      <w:r w:rsidR="008948E8">
        <w:rPr>
          <w:rFonts w:ascii="Arial" w:hAnsi="Arial" w:cs="Arial"/>
          <w:sz w:val="24"/>
          <w:szCs w:val="24"/>
        </w:rPr>
        <w:t>.</w:t>
      </w:r>
    </w:p>
    <w:p w14:paraId="462D81CC" w14:textId="77777777" w:rsidR="006F70A6" w:rsidRDefault="006F70A6">
      <w:pPr>
        <w:pBdr>
          <w:top w:val="single" w:sz="4" w:space="0" w:color="auto"/>
          <w:left w:val="single" w:sz="4" w:space="4" w:color="auto"/>
          <w:bottom w:val="single" w:sz="4" w:space="1" w:color="auto"/>
          <w:right w:val="single" w:sz="4" w:space="4" w:color="auto"/>
        </w:pBdr>
        <w:jc w:val="both"/>
        <w:rPr>
          <w:rFonts w:ascii="Arial" w:hAnsi="Arial" w:cs="Arial"/>
          <w:b/>
          <w:bCs/>
          <w:sz w:val="24"/>
          <w:szCs w:val="24"/>
        </w:rPr>
      </w:pPr>
    </w:p>
    <w:p w14:paraId="5A88DE33" w14:textId="44B8CAF3" w:rsidR="00B51F39" w:rsidRDefault="00B51F39">
      <w:pPr>
        <w:pBdr>
          <w:top w:val="single" w:sz="4" w:space="0" w:color="auto"/>
          <w:left w:val="single" w:sz="4" w:space="4" w:color="auto"/>
          <w:bottom w:val="single" w:sz="4" w:space="1" w:color="auto"/>
          <w:right w:val="single" w:sz="4" w:space="4" w:color="auto"/>
        </w:pBdr>
        <w:jc w:val="both"/>
        <w:rPr>
          <w:rFonts w:ascii="Arial" w:hAnsi="Arial" w:cs="Arial"/>
          <w:b/>
          <w:bCs/>
          <w:sz w:val="24"/>
          <w:szCs w:val="24"/>
        </w:rPr>
      </w:pPr>
      <w:r>
        <w:rPr>
          <w:rFonts w:ascii="Arial" w:hAnsi="Arial" w:cs="Arial"/>
          <w:b/>
          <w:bCs/>
          <w:sz w:val="24"/>
          <w:szCs w:val="24"/>
        </w:rPr>
        <w:t xml:space="preserve">PROPÓSITO: </w:t>
      </w:r>
      <w:r w:rsidR="006D4537">
        <w:rPr>
          <w:rFonts w:ascii="Arial" w:hAnsi="Arial" w:cs="Arial"/>
          <w:sz w:val="24"/>
          <w:szCs w:val="24"/>
        </w:rPr>
        <w:t>Actualizar las instrucciones de los Capítulo XIII</w:t>
      </w:r>
      <w:r w:rsidR="00186690">
        <w:rPr>
          <w:rFonts w:ascii="Arial" w:hAnsi="Arial" w:cs="Arial"/>
          <w:sz w:val="24"/>
          <w:szCs w:val="24"/>
        </w:rPr>
        <w:t>-</w:t>
      </w:r>
      <w:r w:rsidR="00D31798">
        <w:rPr>
          <w:rFonts w:ascii="Arial" w:hAnsi="Arial" w:cs="Arial"/>
          <w:sz w:val="24"/>
          <w:szCs w:val="24"/>
        </w:rPr>
        <w:t>16 y</w:t>
      </w:r>
      <w:r w:rsidR="006D4537">
        <w:rPr>
          <w:rFonts w:ascii="Arial" w:hAnsi="Arial" w:cs="Arial"/>
          <w:sz w:val="24"/>
          <w:szCs w:val="24"/>
        </w:rPr>
        <w:t xml:space="preserve"> XIII</w:t>
      </w:r>
      <w:r w:rsidR="00186690">
        <w:rPr>
          <w:rFonts w:ascii="Arial" w:hAnsi="Arial" w:cs="Arial"/>
          <w:sz w:val="24"/>
          <w:szCs w:val="24"/>
        </w:rPr>
        <w:t>-</w:t>
      </w:r>
      <w:r w:rsidR="006D4537">
        <w:rPr>
          <w:rFonts w:ascii="Arial" w:hAnsi="Arial" w:cs="Arial"/>
          <w:sz w:val="24"/>
          <w:szCs w:val="24"/>
        </w:rPr>
        <w:t>18 de la Circular Básica Contab</w:t>
      </w:r>
      <w:r w:rsidR="0090426E">
        <w:rPr>
          <w:rFonts w:ascii="Arial" w:hAnsi="Arial" w:cs="Arial"/>
          <w:sz w:val="24"/>
          <w:szCs w:val="24"/>
        </w:rPr>
        <w:t>le y Financiera</w:t>
      </w:r>
      <w:r w:rsidR="00827096">
        <w:rPr>
          <w:rFonts w:ascii="Arial" w:hAnsi="Arial" w:cs="Arial"/>
          <w:sz w:val="24"/>
          <w:szCs w:val="24"/>
        </w:rPr>
        <w:t xml:space="preserve">, de acuerdo con las modificaciones introducidas por el </w:t>
      </w:r>
      <w:r w:rsidR="00827096" w:rsidRPr="008948E8">
        <w:rPr>
          <w:rFonts w:ascii="Arial" w:hAnsi="Arial" w:cs="Arial"/>
          <w:sz w:val="24"/>
          <w:szCs w:val="24"/>
        </w:rPr>
        <w:t>Decreto 0573 de 2025</w:t>
      </w:r>
      <w:r w:rsidR="00827096">
        <w:rPr>
          <w:rFonts w:ascii="Arial" w:hAnsi="Arial" w:cs="Arial"/>
          <w:sz w:val="24"/>
          <w:szCs w:val="24"/>
        </w:rPr>
        <w:t xml:space="preserve"> en materia de solvencia y grandes exposiciones. </w:t>
      </w:r>
    </w:p>
    <w:p w14:paraId="4FC142DD" w14:textId="77777777" w:rsidR="00564B20" w:rsidRDefault="00564B20">
      <w:pPr>
        <w:pBdr>
          <w:top w:val="single" w:sz="4" w:space="0" w:color="auto"/>
          <w:left w:val="single" w:sz="4" w:space="4" w:color="auto"/>
          <w:bottom w:val="single" w:sz="4" w:space="1" w:color="auto"/>
          <w:right w:val="single" w:sz="4" w:space="4" w:color="auto"/>
        </w:pBdr>
        <w:jc w:val="both"/>
        <w:rPr>
          <w:rFonts w:ascii="Arial" w:hAnsi="Arial" w:cs="Arial"/>
          <w:b/>
          <w:bCs/>
          <w:sz w:val="24"/>
          <w:szCs w:val="24"/>
        </w:rPr>
      </w:pPr>
    </w:p>
    <w:p w14:paraId="442EE72F" w14:textId="6C00BD87" w:rsidR="00B51F39" w:rsidRPr="00356EE5" w:rsidRDefault="00B51F39" w:rsidP="00404235">
      <w:pPr>
        <w:pBdr>
          <w:top w:val="single" w:sz="4" w:space="0" w:color="auto"/>
          <w:left w:val="single" w:sz="4" w:space="4" w:color="auto"/>
          <w:bottom w:val="single" w:sz="4" w:space="1" w:color="auto"/>
          <w:right w:val="single" w:sz="4" w:space="4" w:color="auto"/>
        </w:pBdr>
        <w:jc w:val="both"/>
        <w:outlineLvl w:val="0"/>
        <w:rPr>
          <w:rFonts w:ascii="Arial" w:hAnsi="Arial" w:cs="Arial"/>
          <w:sz w:val="24"/>
          <w:szCs w:val="24"/>
        </w:rPr>
      </w:pPr>
      <w:r>
        <w:rPr>
          <w:rFonts w:ascii="Arial" w:hAnsi="Arial" w:cs="Arial"/>
          <w:b/>
          <w:bCs/>
          <w:sz w:val="24"/>
          <w:szCs w:val="24"/>
        </w:rPr>
        <w:t xml:space="preserve">PLAZO PARA COMENTARIOS: </w:t>
      </w:r>
      <w:r w:rsidR="008B2EE6" w:rsidRPr="00356EE5">
        <w:rPr>
          <w:rFonts w:ascii="Arial" w:hAnsi="Arial" w:cs="Arial"/>
          <w:sz w:val="24"/>
          <w:szCs w:val="24"/>
        </w:rPr>
        <w:t xml:space="preserve">Hasta las </w:t>
      </w:r>
      <w:r w:rsidR="00CA0F27">
        <w:rPr>
          <w:rFonts w:ascii="Arial" w:hAnsi="Arial" w:cs="Arial"/>
          <w:sz w:val="24"/>
          <w:szCs w:val="24"/>
        </w:rPr>
        <w:t>11</w:t>
      </w:r>
      <w:r w:rsidR="008B2EE6" w:rsidRPr="00356EE5">
        <w:rPr>
          <w:rFonts w:ascii="Arial" w:hAnsi="Arial" w:cs="Arial"/>
          <w:sz w:val="24"/>
          <w:szCs w:val="24"/>
        </w:rPr>
        <w:t xml:space="preserve">:00 </w:t>
      </w:r>
      <w:r w:rsidR="00CA0F27">
        <w:rPr>
          <w:rFonts w:ascii="Arial" w:hAnsi="Arial" w:cs="Arial"/>
          <w:sz w:val="24"/>
          <w:szCs w:val="24"/>
        </w:rPr>
        <w:t>a</w:t>
      </w:r>
      <w:r w:rsidR="008B2EE6" w:rsidRPr="00356EE5">
        <w:rPr>
          <w:rFonts w:ascii="Arial" w:hAnsi="Arial" w:cs="Arial"/>
          <w:sz w:val="24"/>
          <w:szCs w:val="24"/>
        </w:rPr>
        <w:t xml:space="preserve">.m. del </w:t>
      </w:r>
      <w:r w:rsidR="00573E4B" w:rsidRPr="00573E4B">
        <w:rPr>
          <w:rFonts w:ascii="Arial" w:hAnsi="Arial" w:cs="Arial"/>
          <w:b/>
          <w:bCs/>
          <w:sz w:val="24"/>
          <w:szCs w:val="24"/>
        </w:rPr>
        <w:t>viernes 6</w:t>
      </w:r>
      <w:r w:rsidR="00AC27BD" w:rsidRPr="00573E4B">
        <w:rPr>
          <w:rFonts w:ascii="Arial" w:hAnsi="Arial" w:cs="Arial"/>
          <w:b/>
          <w:bCs/>
          <w:sz w:val="24"/>
          <w:szCs w:val="24"/>
        </w:rPr>
        <w:t xml:space="preserve"> de junio</w:t>
      </w:r>
      <w:r w:rsidR="00CA0F27" w:rsidRPr="00573E4B">
        <w:rPr>
          <w:rFonts w:ascii="Arial" w:hAnsi="Arial" w:cs="Arial"/>
          <w:b/>
          <w:bCs/>
          <w:sz w:val="24"/>
          <w:szCs w:val="24"/>
        </w:rPr>
        <w:t xml:space="preserve"> </w:t>
      </w:r>
      <w:r w:rsidR="008B2EE6" w:rsidRPr="00573E4B">
        <w:rPr>
          <w:rFonts w:ascii="Arial" w:hAnsi="Arial" w:cs="Arial"/>
          <w:b/>
          <w:bCs/>
          <w:sz w:val="24"/>
          <w:szCs w:val="24"/>
        </w:rPr>
        <w:t>de 2025</w:t>
      </w:r>
      <w:r w:rsidR="00CA0F27">
        <w:rPr>
          <w:rFonts w:ascii="Arial" w:hAnsi="Arial" w:cs="Arial"/>
          <w:sz w:val="24"/>
          <w:szCs w:val="24"/>
        </w:rPr>
        <w:t>.</w:t>
      </w:r>
    </w:p>
    <w:p w14:paraId="6929E3F6" w14:textId="77777777" w:rsidR="006F7746" w:rsidRDefault="006F7746" w:rsidP="006F7746">
      <w:pPr>
        <w:pBdr>
          <w:top w:val="single" w:sz="4" w:space="0" w:color="auto"/>
          <w:left w:val="single" w:sz="4" w:space="4" w:color="auto"/>
          <w:bottom w:val="single" w:sz="4" w:space="1" w:color="auto"/>
          <w:right w:val="single" w:sz="4" w:space="4" w:color="auto"/>
        </w:pBdr>
        <w:jc w:val="both"/>
        <w:rPr>
          <w:rFonts w:ascii="Arial" w:hAnsi="Arial" w:cs="Arial"/>
          <w:b/>
          <w:bCs/>
          <w:sz w:val="24"/>
          <w:szCs w:val="24"/>
        </w:rPr>
      </w:pPr>
    </w:p>
    <w:p w14:paraId="071B38A0" w14:textId="77777777" w:rsidR="006F7746" w:rsidRDefault="006F7746" w:rsidP="006F7746">
      <w:pPr>
        <w:pBdr>
          <w:top w:val="single" w:sz="4" w:space="0" w:color="auto"/>
          <w:left w:val="single" w:sz="4" w:space="4" w:color="auto"/>
          <w:bottom w:val="single" w:sz="4" w:space="1" w:color="auto"/>
          <w:right w:val="single" w:sz="4" w:space="4" w:color="auto"/>
        </w:pBdr>
        <w:jc w:val="both"/>
        <w:outlineLvl w:val="0"/>
        <w:rPr>
          <w:rFonts w:ascii="Arial" w:hAnsi="Arial" w:cs="Arial"/>
          <w:bCs/>
          <w:sz w:val="24"/>
          <w:szCs w:val="24"/>
        </w:rPr>
      </w:pPr>
      <w:r>
        <w:rPr>
          <w:rFonts w:ascii="Arial" w:hAnsi="Arial" w:cs="Arial"/>
          <w:b/>
          <w:bCs/>
          <w:sz w:val="24"/>
          <w:szCs w:val="24"/>
        </w:rPr>
        <w:t xml:space="preserve">REMISIÓN DE COMENTARIOS: </w:t>
      </w:r>
      <w:r>
        <w:rPr>
          <w:rFonts w:ascii="Arial" w:hAnsi="Arial" w:cs="Arial"/>
          <w:bCs/>
          <w:sz w:val="24"/>
          <w:szCs w:val="24"/>
        </w:rPr>
        <w:t>Por favor diligenciar la proforma adjunta “</w:t>
      </w:r>
      <w:r w:rsidRPr="00903B73">
        <w:rPr>
          <w:rFonts w:ascii="Arial" w:hAnsi="Arial" w:cs="Arial"/>
          <w:bCs/>
          <w:sz w:val="24"/>
          <w:szCs w:val="24"/>
        </w:rPr>
        <w:t>MATRIZ PARA COMENTARIOS EXTERNOS - PUBLICACION WEB</w:t>
      </w:r>
      <w:r>
        <w:rPr>
          <w:rFonts w:ascii="Arial" w:hAnsi="Arial" w:cs="Arial"/>
          <w:bCs/>
          <w:sz w:val="24"/>
          <w:szCs w:val="24"/>
        </w:rPr>
        <w:t xml:space="preserve">”. </w:t>
      </w:r>
    </w:p>
    <w:p w14:paraId="3A5806F3" w14:textId="77777777" w:rsidR="006F7746" w:rsidRDefault="006F7746" w:rsidP="006F7746">
      <w:pPr>
        <w:pBdr>
          <w:top w:val="single" w:sz="4" w:space="0" w:color="auto"/>
          <w:left w:val="single" w:sz="4" w:space="4" w:color="auto"/>
          <w:bottom w:val="single" w:sz="4" w:space="1" w:color="auto"/>
          <w:right w:val="single" w:sz="4" w:space="4" w:color="auto"/>
        </w:pBdr>
        <w:jc w:val="both"/>
        <w:outlineLvl w:val="0"/>
        <w:rPr>
          <w:rFonts w:ascii="Arial" w:hAnsi="Arial" w:cs="Arial"/>
          <w:bCs/>
          <w:sz w:val="24"/>
          <w:szCs w:val="24"/>
        </w:rPr>
      </w:pPr>
      <w:r>
        <w:rPr>
          <w:rFonts w:ascii="Arial" w:hAnsi="Arial" w:cs="Arial"/>
          <w:bCs/>
          <w:sz w:val="24"/>
          <w:szCs w:val="24"/>
        </w:rPr>
        <w:t xml:space="preserve"> </w:t>
      </w:r>
    </w:p>
    <w:p w14:paraId="5E0F744A" w14:textId="469ECB9E" w:rsidR="006F7746" w:rsidRDefault="006F7746" w:rsidP="006F7746">
      <w:pPr>
        <w:pBdr>
          <w:top w:val="single" w:sz="4" w:space="0" w:color="auto"/>
          <w:left w:val="single" w:sz="4" w:space="4" w:color="auto"/>
          <w:bottom w:val="single" w:sz="4" w:space="1" w:color="auto"/>
          <w:right w:val="single" w:sz="4" w:space="4" w:color="auto"/>
        </w:pBdr>
        <w:jc w:val="both"/>
        <w:outlineLvl w:val="0"/>
        <w:rPr>
          <w:rFonts w:ascii="Arial" w:hAnsi="Arial" w:cs="Arial"/>
          <w:b/>
          <w:bCs/>
          <w:sz w:val="24"/>
          <w:szCs w:val="24"/>
          <w:lang w:val="es-ES"/>
        </w:rPr>
      </w:pPr>
      <w:r>
        <w:rPr>
          <w:rFonts w:ascii="Arial" w:hAnsi="Arial" w:cs="Arial"/>
          <w:bCs/>
          <w:sz w:val="24"/>
          <w:szCs w:val="24"/>
        </w:rPr>
        <w:t xml:space="preserve">La proforma en formato Word puede ser radicada vía e-mail por medio del correo electrónico </w:t>
      </w:r>
      <w:hyperlink r:id="rId10" w:history="1">
        <w:r w:rsidRPr="00663E3A">
          <w:rPr>
            <w:rStyle w:val="Hipervnculo"/>
            <w:rFonts w:ascii="Arial" w:hAnsi="Arial" w:cs="Arial"/>
            <w:bCs/>
            <w:sz w:val="24"/>
            <w:szCs w:val="24"/>
            <w:lang w:val="es-ES"/>
          </w:rPr>
          <w:t>normativa@superfinanciera.gov.co</w:t>
        </w:r>
      </w:hyperlink>
      <w:r>
        <w:rPr>
          <w:rFonts w:ascii="Arial" w:hAnsi="Arial" w:cs="Arial"/>
          <w:bCs/>
          <w:sz w:val="24"/>
          <w:szCs w:val="24"/>
          <w:lang w:val="es-ES"/>
        </w:rPr>
        <w:t xml:space="preserve">. En el asunto </w:t>
      </w:r>
      <w:r w:rsidRPr="00BC13D7">
        <w:rPr>
          <w:rFonts w:ascii="Arial" w:hAnsi="Arial" w:cs="Arial"/>
          <w:b/>
          <w:bCs/>
          <w:sz w:val="24"/>
          <w:szCs w:val="24"/>
          <w:lang w:val="es-ES"/>
        </w:rPr>
        <w:t>únicamente</w:t>
      </w:r>
      <w:r>
        <w:rPr>
          <w:rFonts w:ascii="Arial" w:hAnsi="Arial" w:cs="Arial"/>
          <w:bCs/>
          <w:sz w:val="24"/>
          <w:szCs w:val="24"/>
          <w:lang w:val="es-ES"/>
        </w:rPr>
        <w:t xml:space="preserve"> incluir el siguiente número de radicación:</w:t>
      </w:r>
    </w:p>
    <w:p w14:paraId="11ED16D3" w14:textId="07D7597D" w:rsidR="00B51F39" w:rsidRDefault="00B51F39">
      <w:pPr>
        <w:pBdr>
          <w:top w:val="single" w:sz="4" w:space="0" w:color="auto"/>
          <w:left w:val="single" w:sz="4" w:space="4" w:color="auto"/>
          <w:bottom w:val="single" w:sz="4" w:space="1" w:color="auto"/>
          <w:right w:val="single" w:sz="4" w:space="4" w:color="auto"/>
        </w:pBdr>
        <w:jc w:val="both"/>
        <w:rPr>
          <w:rFonts w:ascii="Arial" w:hAnsi="Arial" w:cs="Arial"/>
          <w:b/>
          <w:bCs/>
          <w:sz w:val="24"/>
          <w:szCs w:val="24"/>
          <w:lang w:val="es-ES"/>
        </w:rPr>
      </w:pPr>
    </w:p>
    <w:p w14:paraId="4F914B42" w14:textId="77777777" w:rsidR="006F70A6" w:rsidRPr="008F5381" w:rsidRDefault="006F70A6">
      <w:pPr>
        <w:pBdr>
          <w:top w:val="single" w:sz="4" w:space="0" w:color="auto"/>
          <w:left w:val="single" w:sz="4" w:space="4" w:color="auto"/>
          <w:bottom w:val="single" w:sz="4" w:space="1" w:color="auto"/>
          <w:right w:val="single" w:sz="4" w:space="4" w:color="auto"/>
        </w:pBdr>
        <w:jc w:val="both"/>
        <w:rPr>
          <w:rFonts w:ascii="Arial" w:hAnsi="Arial" w:cs="Arial"/>
          <w:b/>
          <w:bCs/>
          <w:sz w:val="24"/>
          <w:szCs w:val="24"/>
          <w:lang w:val="es-ES"/>
        </w:rPr>
      </w:pPr>
    </w:p>
    <w:p w14:paraId="1400FC12" w14:textId="047F8D4A" w:rsidR="00B51F39" w:rsidRDefault="006F70A6" w:rsidP="008B2EE6">
      <w:pPr>
        <w:pBdr>
          <w:top w:val="single" w:sz="4" w:space="0" w:color="auto"/>
          <w:left w:val="single" w:sz="4" w:space="4" w:color="auto"/>
          <w:bottom w:val="single" w:sz="4" w:space="1" w:color="auto"/>
          <w:right w:val="single" w:sz="4" w:space="4" w:color="auto"/>
        </w:pBdr>
        <w:jc w:val="center"/>
        <w:rPr>
          <w:rFonts w:ascii="Arial" w:hAnsi="Arial" w:cs="Arial"/>
          <w:b/>
          <w:bCs/>
          <w:sz w:val="24"/>
          <w:szCs w:val="24"/>
          <w:lang w:val="es-ES"/>
        </w:rPr>
      </w:pPr>
      <w:r>
        <w:rPr>
          <w:rFonts w:ascii="Arial" w:hAnsi="Arial" w:cs="Arial"/>
          <w:b/>
          <w:bCs/>
          <w:sz w:val="24"/>
          <w:szCs w:val="24"/>
          <w:lang w:val="es-ES"/>
        </w:rPr>
        <w:t xml:space="preserve">RADICADO No. </w:t>
      </w:r>
      <w:r w:rsidR="00CA0F27">
        <w:rPr>
          <w:rFonts w:ascii="Arial" w:hAnsi="Arial" w:cs="Arial"/>
          <w:b/>
          <w:bCs/>
          <w:sz w:val="24"/>
          <w:szCs w:val="24"/>
          <w:lang w:val="es-ES"/>
        </w:rPr>
        <w:t>XXXXXXXXX</w:t>
      </w:r>
    </w:p>
    <w:p w14:paraId="04D2F0E5" w14:textId="77777777" w:rsidR="008B2EE6" w:rsidRPr="00E77E01" w:rsidRDefault="008B2EE6" w:rsidP="008B2EE6">
      <w:pPr>
        <w:pBdr>
          <w:top w:val="single" w:sz="4" w:space="0" w:color="auto"/>
          <w:left w:val="single" w:sz="4" w:space="4" w:color="auto"/>
          <w:bottom w:val="single" w:sz="4" w:space="1" w:color="auto"/>
          <w:right w:val="single" w:sz="4" w:space="4" w:color="auto"/>
        </w:pBdr>
        <w:rPr>
          <w:rFonts w:ascii="Arial" w:hAnsi="Arial" w:cs="Arial"/>
          <w:b/>
          <w:bCs/>
          <w:sz w:val="24"/>
          <w:szCs w:val="24"/>
          <w:lang w:val="es-ES"/>
        </w:rPr>
      </w:pPr>
    </w:p>
    <w:p w14:paraId="2B703711" w14:textId="77777777" w:rsidR="00B51F39" w:rsidRDefault="00E77E01" w:rsidP="0037411F">
      <w:pPr>
        <w:pBdr>
          <w:top w:val="single" w:sz="4" w:space="0" w:color="auto"/>
          <w:left w:val="single" w:sz="4" w:space="4" w:color="auto"/>
          <w:bottom w:val="single" w:sz="4" w:space="1" w:color="auto"/>
          <w:right w:val="single" w:sz="4" w:space="4" w:color="auto"/>
        </w:pBdr>
        <w:tabs>
          <w:tab w:val="left" w:pos="2109"/>
        </w:tabs>
        <w:jc w:val="both"/>
        <w:rPr>
          <w:rFonts w:ascii="Arial" w:hAnsi="Arial" w:cs="Arial"/>
          <w:bCs/>
          <w:sz w:val="24"/>
          <w:szCs w:val="24"/>
        </w:rPr>
      </w:pPr>
      <w:r>
        <w:rPr>
          <w:rFonts w:ascii="Arial" w:hAnsi="Arial" w:cs="Arial"/>
          <w:b/>
          <w:bCs/>
          <w:sz w:val="24"/>
          <w:szCs w:val="24"/>
        </w:rPr>
        <w:t>POR ESCRITO A:</w:t>
      </w:r>
      <w:r>
        <w:rPr>
          <w:rFonts w:ascii="Arial" w:hAnsi="Arial" w:cs="Arial"/>
          <w:b/>
          <w:bCs/>
          <w:sz w:val="24"/>
          <w:szCs w:val="24"/>
        </w:rPr>
        <w:tab/>
      </w:r>
      <w:proofErr w:type="gramStart"/>
      <w:r w:rsidR="00824B7C">
        <w:rPr>
          <w:rFonts w:ascii="Arial" w:hAnsi="Arial" w:cs="Arial"/>
          <w:b/>
          <w:bCs/>
          <w:sz w:val="24"/>
          <w:szCs w:val="24"/>
        </w:rPr>
        <w:t>Subdirector</w:t>
      </w:r>
      <w:proofErr w:type="gramEnd"/>
      <w:r w:rsidR="00824B7C">
        <w:rPr>
          <w:rFonts w:ascii="Arial" w:hAnsi="Arial" w:cs="Arial"/>
          <w:b/>
          <w:bCs/>
          <w:sz w:val="24"/>
          <w:szCs w:val="24"/>
        </w:rPr>
        <w:t xml:space="preserve"> de </w:t>
      </w:r>
      <w:r w:rsidR="00AC0FDE">
        <w:rPr>
          <w:rFonts w:ascii="Arial" w:hAnsi="Arial" w:cs="Arial"/>
          <w:b/>
          <w:bCs/>
          <w:sz w:val="24"/>
          <w:szCs w:val="24"/>
        </w:rPr>
        <w:t>Regulación</w:t>
      </w:r>
      <w:r w:rsidR="00A164B8">
        <w:rPr>
          <w:rFonts w:ascii="Arial" w:hAnsi="Arial" w:cs="Arial"/>
          <w:bCs/>
          <w:sz w:val="24"/>
          <w:szCs w:val="24"/>
        </w:rPr>
        <w:t>, con el número de radicación.</w:t>
      </w:r>
    </w:p>
    <w:p w14:paraId="0AFD51A8" w14:textId="77777777" w:rsidR="00043B3D" w:rsidRPr="00E77E01" w:rsidRDefault="00043B3D" w:rsidP="0037411F">
      <w:pPr>
        <w:pBdr>
          <w:top w:val="single" w:sz="4" w:space="0" w:color="auto"/>
          <w:left w:val="single" w:sz="4" w:space="4" w:color="auto"/>
          <w:bottom w:val="single" w:sz="4" w:space="1" w:color="auto"/>
          <w:right w:val="single" w:sz="4" w:space="4" w:color="auto"/>
        </w:pBdr>
        <w:tabs>
          <w:tab w:val="left" w:pos="2109"/>
        </w:tabs>
        <w:jc w:val="both"/>
        <w:rPr>
          <w:rFonts w:ascii="Arial" w:hAnsi="Arial" w:cs="Arial"/>
          <w:bCs/>
          <w:sz w:val="24"/>
          <w:szCs w:val="24"/>
        </w:rPr>
      </w:pPr>
    </w:p>
    <w:p w14:paraId="333262A3" w14:textId="41C59419" w:rsidR="00B51F39" w:rsidRPr="00E77E01" w:rsidRDefault="00B51F39" w:rsidP="0037411F">
      <w:pPr>
        <w:pBdr>
          <w:top w:val="single" w:sz="4" w:space="0" w:color="auto"/>
          <w:left w:val="single" w:sz="4" w:space="4" w:color="auto"/>
          <w:bottom w:val="single" w:sz="4" w:space="1" w:color="auto"/>
          <w:right w:val="single" w:sz="4" w:space="4" w:color="auto"/>
        </w:pBdr>
        <w:tabs>
          <w:tab w:val="left" w:pos="2109"/>
        </w:tabs>
        <w:jc w:val="both"/>
        <w:outlineLvl w:val="0"/>
        <w:rPr>
          <w:rFonts w:ascii="Arial" w:hAnsi="Arial" w:cs="Arial"/>
          <w:bCs/>
          <w:sz w:val="24"/>
          <w:szCs w:val="24"/>
        </w:rPr>
      </w:pPr>
    </w:p>
    <w:p w14:paraId="2EFEE16E" w14:textId="77777777" w:rsidR="00B51F39" w:rsidRDefault="00B51F39">
      <w:pPr>
        <w:pBdr>
          <w:top w:val="single" w:sz="4" w:space="0" w:color="auto"/>
          <w:left w:val="single" w:sz="4" w:space="4" w:color="auto"/>
          <w:bottom w:val="single" w:sz="4" w:space="1" w:color="auto"/>
          <w:right w:val="single" w:sz="4" w:space="4" w:color="auto"/>
        </w:pBdr>
        <w:rPr>
          <w:rFonts w:ascii="Arial" w:hAnsi="Arial" w:cs="Arial"/>
          <w:b/>
          <w:bCs/>
          <w:szCs w:val="24"/>
        </w:rPr>
      </w:pPr>
    </w:p>
    <w:p w14:paraId="031B071D" w14:textId="77777777" w:rsidR="00564B20" w:rsidRPr="00043B3D" w:rsidRDefault="00043B3D">
      <w:pPr>
        <w:pBdr>
          <w:top w:val="single" w:sz="4" w:space="0" w:color="auto"/>
          <w:left w:val="single" w:sz="4" w:space="4" w:color="auto"/>
          <w:bottom w:val="single" w:sz="4" w:space="1" w:color="auto"/>
          <w:right w:val="single" w:sz="4" w:space="4" w:color="auto"/>
        </w:pBdr>
        <w:rPr>
          <w:rFonts w:ascii="Arial" w:hAnsi="Arial" w:cs="Arial"/>
          <w:bCs/>
          <w:sz w:val="24"/>
          <w:szCs w:val="24"/>
        </w:rPr>
      </w:pPr>
      <w:r w:rsidRPr="00043B3D">
        <w:rPr>
          <w:rFonts w:ascii="Arial" w:hAnsi="Arial" w:cs="Arial"/>
          <w:b/>
          <w:bCs/>
          <w:sz w:val="24"/>
          <w:szCs w:val="24"/>
        </w:rPr>
        <w:t xml:space="preserve">Nota: </w:t>
      </w:r>
      <w:r w:rsidRPr="00043B3D">
        <w:rPr>
          <w:rFonts w:ascii="Arial" w:hAnsi="Arial" w:cs="Arial"/>
          <w:bCs/>
          <w:sz w:val="24"/>
          <w:szCs w:val="24"/>
        </w:rPr>
        <w:t>Para la remisión de los comentarios por favor citar en el asunto del correo electrónico</w:t>
      </w:r>
      <w:r>
        <w:rPr>
          <w:rFonts w:ascii="Arial" w:hAnsi="Arial" w:cs="Arial"/>
          <w:bCs/>
          <w:sz w:val="24"/>
          <w:szCs w:val="24"/>
        </w:rPr>
        <w:t>,</w:t>
      </w:r>
      <w:r w:rsidRPr="00043B3D">
        <w:rPr>
          <w:rFonts w:ascii="Arial" w:hAnsi="Arial" w:cs="Arial"/>
          <w:bCs/>
          <w:sz w:val="24"/>
          <w:szCs w:val="24"/>
        </w:rPr>
        <w:t xml:space="preserve"> la referencia señalada, así como por escrito.</w:t>
      </w:r>
    </w:p>
    <w:p w14:paraId="3EECA852" w14:textId="77777777" w:rsidR="00564B20" w:rsidRDefault="00564B20">
      <w:pPr>
        <w:pBdr>
          <w:top w:val="single" w:sz="4" w:space="0" w:color="auto"/>
          <w:left w:val="single" w:sz="4" w:space="4" w:color="auto"/>
          <w:bottom w:val="single" w:sz="4" w:space="1" w:color="auto"/>
          <w:right w:val="single" w:sz="4" w:space="4" w:color="auto"/>
        </w:pBdr>
        <w:rPr>
          <w:rFonts w:ascii="Arial" w:hAnsi="Arial" w:cs="Arial"/>
          <w:b/>
          <w:bCs/>
          <w:szCs w:val="24"/>
        </w:rPr>
      </w:pPr>
    </w:p>
    <w:p w14:paraId="180221E4" w14:textId="77777777" w:rsidR="00564B20" w:rsidRDefault="00564B20">
      <w:pPr>
        <w:pBdr>
          <w:top w:val="single" w:sz="4" w:space="0" w:color="auto"/>
          <w:left w:val="single" w:sz="4" w:space="4" w:color="auto"/>
          <w:bottom w:val="single" w:sz="4" w:space="1" w:color="auto"/>
          <w:right w:val="single" w:sz="4" w:space="4" w:color="auto"/>
        </w:pBdr>
        <w:rPr>
          <w:rFonts w:ascii="Arial" w:hAnsi="Arial" w:cs="Arial"/>
          <w:b/>
          <w:bCs/>
          <w:szCs w:val="24"/>
        </w:rPr>
      </w:pPr>
    </w:p>
    <w:p w14:paraId="24DAF8FA" w14:textId="77777777" w:rsidR="00564B20" w:rsidRDefault="00564B20">
      <w:pPr>
        <w:pBdr>
          <w:top w:val="single" w:sz="4" w:space="0" w:color="auto"/>
          <w:left w:val="single" w:sz="4" w:space="4" w:color="auto"/>
          <w:bottom w:val="single" w:sz="4" w:space="1" w:color="auto"/>
          <w:right w:val="single" w:sz="4" w:space="4" w:color="auto"/>
        </w:pBdr>
        <w:rPr>
          <w:rFonts w:ascii="Arial" w:hAnsi="Arial" w:cs="Arial"/>
          <w:b/>
          <w:bCs/>
          <w:szCs w:val="24"/>
        </w:rPr>
      </w:pPr>
    </w:p>
    <w:p w14:paraId="7F8E5DCB" w14:textId="77777777" w:rsidR="00564B20" w:rsidRDefault="00564B20">
      <w:pPr>
        <w:pBdr>
          <w:top w:val="single" w:sz="4" w:space="0" w:color="auto"/>
          <w:left w:val="single" w:sz="4" w:space="4" w:color="auto"/>
          <w:bottom w:val="single" w:sz="4" w:space="1" w:color="auto"/>
          <w:right w:val="single" w:sz="4" w:space="4" w:color="auto"/>
        </w:pBdr>
        <w:rPr>
          <w:rFonts w:ascii="Arial" w:hAnsi="Arial" w:cs="Arial"/>
          <w:b/>
          <w:bCs/>
          <w:szCs w:val="24"/>
        </w:rPr>
      </w:pPr>
    </w:p>
    <w:p w14:paraId="13B11FD2" w14:textId="77777777" w:rsidR="00564B20" w:rsidRDefault="00564B20">
      <w:pPr>
        <w:pBdr>
          <w:top w:val="single" w:sz="4" w:space="0" w:color="auto"/>
          <w:left w:val="single" w:sz="4" w:space="4" w:color="auto"/>
          <w:bottom w:val="single" w:sz="4" w:space="1" w:color="auto"/>
          <w:right w:val="single" w:sz="4" w:space="4" w:color="auto"/>
        </w:pBdr>
        <w:rPr>
          <w:rFonts w:ascii="Arial" w:hAnsi="Arial" w:cs="Arial"/>
          <w:b/>
          <w:bCs/>
          <w:szCs w:val="24"/>
        </w:rPr>
      </w:pPr>
    </w:p>
    <w:p w14:paraId="0D1E847F" w14:textId="77777777" w:rsidR="00564B20" w:rsidRDefault="00564B20">
      <w:pPr>
        <w:pBdr>
          <w:top w:val="single" w:sz="4" w:space="0" w:color="auto"/>
          <w:left w:val="single" w:sz="4" w:space="4" w:color="auto"/>
          <w:bottom w:val="single" w:sz="4" w:space="1" w:color="auto"/>
          <w:right w:val="single" w:sz="4" w:space="4" w:color="auto"/>
        </w:pBdr>
        <w:rPr>
          <w:rFonts w:ascii="Arial" w:hAnsi="Arial" w:cs="Arial"/>
          <w:b/>
          <w:bCs/>
          <w:szCs w:val="24"/>
        </w:rPr>
      </w:pPr>
    </w:p>
    <w:p w14:paraId="66CDC15E" w14:textId="77777777" w:rsidR="00B51F39" w:rsidRDefault="00B51F39">
      <w:pPr>
        <w:pBdr>
          <w:top w:val="single" w:sz="4" w:space="0" w:color="auto"/>
          <w:left w:val="single" w:sz="4" w:space="4" w:color="auto"/>
          <w:bottom w:val="single" w:sz="4" w:space="1" w:color="auto"/>
          <w:right w:val="single" w:sz="4" w:space="4" w:color="auto"/>
        </w:pBdr>
        <w:rPr>
          <w:rFonts w:ascii="Arial" w:hAnsi="Arial" w:cs="Arial"/>
          <w:b/>
          <w:bCs/>
          <w:szCs w:val="24"/>
        </w:rPr>
      </w:pPr>
    </w:p>
    <w:p w14:paraId="7E802D0E" w14:textId="77777777" w:rsidR="00B51F39" w:rsidRDefault="00B51F39">
      <w:pPr>
        <w:pBdr>
          <w:top w:val="single" w:sz="4" w:space="0" w:color="auto"/>
          <w:left w:val="single" w:sz="4" w:space="4" w:color="auto"/>
          <w:bottom w:val="single" w:sz="4" w:space="1" w:color="auto"/>
          <w:right w:val="single" w:sz="4" w:space="4" w:color="auto"/>
        </w:pBdr>
        <w:rPr>
          <w:rFonts w:ascii="Arial" w:hAnsi="Arial" w:cs="Arial"/>
          <w:b/>
          <w:bCs/>
        </w:rPr>
      </w:pPr>
    </w:p>
    <w:p w14:paraId="164D603C" w14:textId="77777777" w:rsidR="008B2EE6" w:rsidRDefault="00B51F39" w:rsidP="008B2EE6">
      <w:pPr>
        <w:pBdr>
          <w:top w:val="single" w:sz="4" w:space="0" w:color="auto"/>
          <w:left w:val="single" w:sz="4" w:space="4" w:color="auto"/>
          <w:bottom w:val="single" w:sz="4" w:space="1" w:color="auto"/>
          <w:right w:val="single" w:sz="4" w:space="4" w:color="auto"/>
        </w:pBdr>
        <w:jc w:val="center"/>
        <w:rPr>
          <w:rFonts w:ascii="Arial" w:hAnsi="Arial" w:cs="Arial"/>
          <w:b/>
          <w:bCs/>
          <w:sz w:val="28"/>
          <w:szCs w:val="28"/>
        </w:rPr>
        <w:sectPr w:rsidR="008B2EE6" w:rsidSect="00EE3537">
          <w:headerReference w:type="default" r:id="rId11"/>
          <w:footerReference w:type="default" r:id="rId12"/>
          <w:headerReference w:type="first" r:id="rId13"/>
          <w:footerReference w:type="first" r:id="rId14"/>
          <w:pgSz w:w="12242" w:h="18722" w:code="14"/>
          <w:pgMar w:top="2977" w:right="1701" w:bottom="1701" w:left="2268" w:header="709" w:footer="709" w:gutter="0"/>
          <w:paperSrc w:first="2" w:other="2"/>
          <w:cols w:space="708"/>
          <w:titlePg/>
          <w:docGrid w:linePitch="360"/>
        </w:sectPr>
      </w:pPr>
      <w:r>
        <w:rPr>
          <w:rFonts w:ascii="Arial" w:hAnsi="Arial" w:cs="Arial"/>
          <w:b/>
          <w:bCs/>
          <w:sz w:val="28"/>
          <w:szCs w:val="28"/>
        </w:rPr>
        <w:t xml:space="preserve">* Consulte en este archivo el texto del proyecto de </w:t>
      </w:r>
      <w:r w:rsidR="008B2EE6">
        <w:rPr>
          <w:rFonts w:ascii="Arial" w:hAnsi="Arial" w:cs="Arial"/>
          <w:b/>
          <w:bCs/>
          <w:sz w:val="28"/>
          <w:szCs w:val="28"/>
        </w:rPr>
        <w:t>circular externa</w:t>
      </w:r>
    </w:p>
    <w:p w14:paraId="362739E3" w14:textId="77777777" w:rsidR="00DA4682" w:rsidRDefault="00DA4682" w:rsidP="008B2EE6">
      <w:pPr>
        <w:widowControl w:val="0"/>
        <w:autoSpaceDE w:val="0"/>
        <w:autoSpaceDN w:val="0"/>
        <w:adjustRightInd w:val="0"/>
        <w:ind w:firstLine="708"/>
        <w:jc w:val="center"/>
        <w:rPr>
          <w:rFonts w:ascii="Verdana" w:hAnsi="Verdana" w:cs="Arial"/>
          <w:b/>
          <w:sz w:val="24"/>
          <w:szCs w:val="24"/>
        </w:rPr>
      </w:pPr>
    </w:p>
    <w:p w14:paraId="317191E0" w14:textId="41CED0A6" w:rsidR="008B2EE6" w:rsidRPr="008B2EE6" w:rsidRDefault="008B2EE6" w:rsidP="008B2EE6">
      <w:pPr>
        <w:widowControl w:val="0"/>
        <w:autoSpaceDE w:val="0"/>
        <w:autoSpaceDN w:val="0"/>
        <w:adjustRightInd w:val="0"/>
        <w:ind w:firstLine="708"/>
        <w:jc w:val="center"/>
        <w:rPr>
          <w:rFonts w:ascii="Verdana" w:hAnsi="Verdana" w:cs="Arial"/>
          <w:b/>
          <w:sz w:val="24"/>
          <w:szCs w:val="24"/>
        </w:rPr>
      </w:pPr>
      <w:r w:rsidRPr="008B2EE6">
        <w:rPr>
          <w:rFonts w:ascii="Verdana" w:hAnsi="Verdana" w:cs="Arial"/>
          <w:b/>
          <w:sz w:val="24"/>
          <w:szCs w:val="24"/>
        </w:rPr>
        <w:t xml:space="preserve">CIRCULAR EXTERNA         </w:t>
      </w:r>
      <w:r w:rsidRPr="008B2EE6">
        <w:rPr>
          <w:rFonts w:ascii="Verdana" w:hAnsi="Verdana" w:cs="Arial"/>
          <w:b/>
          <w:color w:val="999999"/>
          <w:sz w:val="24"/>
          <w:szCs w:val="24"/>
        </w:rPr>
        <w:t xml:space="preserve">    </w:t>
      </w:r>
      <w:r w:rsidRPr="008B2EE6">
        <w:rPr>
          <w:rFonts w:ascii="Verdana" w:hAnsi="Verdana" w:cs="Arial"/>
          <w:b/>
          <w:sz w:val="24"/>
          <w:szCs w:val="24"/>
        </w:rPr>
        <w:t xml:space="preserve">  DE </w:t>
      </w:r>
      <w:r w:rsidRPr="008B2EE6">
        <w:rPr>
          <w:rFonts w:ascii="Verdana" w:hAnsi="Verdana" w:cs="Arial"/>
          <w:b/>
          <w:color w:val="999999"/>
          <w:sz w:val="24"/>
          <w:szCs w:val="24"/>
        </w:rPr>
        <w:t xml:space="preserve">       </w:t>
      </w:r>
    </w:p>
    <w:p w14:paraId="6CF5FB11" w14:textId="77777777" w:rsidR="008B2EE6" w:rsidRPr="008B2EE6" w:rsidRDefault="008B2EE6" w:rsidP="008B2EE6">
      <w:pPr>
        <w:widowControl w:val="0"/>
        <w:autoSpaceDE w:val="0"/>
        <w:autoSpaceDN w:val="0"/>
        <w:adjustRightInd w:val="0"/>
        <w:jc w:val="center"/>
        <w:rPr>
          <w:rFonts w:ascii="Verdana" w:hAnsi="Verdana" w:cs="Arial"/>
          <w:b/>
          <w:sz w:val="24"/>
          <w:szCs w:val="24"/>
        </w:rPr>
      </w:pPr>
      <w:r w:rsidRPr="008B2EE6">
        <w:rPr>
          <w:rFonts w:ascii="Verdana" w:hAnsi="Verdana" w:cs="Arial"/>
          <w:b/>
          <w:sz w:val="24"/>
          <w:szCs w:val="24"/>
        </w:rPr>
        <w:t>(                                        )</w:t>
      </w:r>
    </w:p>
    <w:p w14:paraId="33AD99F6" w14:textId="77777777" w:rsidR="008B2EE6" w:rsidRDefault="008B2EE6" w:rsidP="008B2EE6">
      <w:pPr>
        <w:widowControl w:val="0"/>
        <w:autoSpaceDE w:val="0"/>
        <w:autoSpaceDN w:val="0"/>
        <w:adjustRightInd w:val="0"/>
        <w:jc w:val="both"/>
        <w:rPr>
          <w:rFonts w:ascii="Verdana" w:hAnsi="Verdana" w:cs="Arial"/>
          <w:sz w:val="24"/>
          <w:szCs w:val="24"/>
        </w:rPr>
      </w:pPr>
    </w:p>
    <w:p w14:paraId="3CEF4249" w14:textId="77777777" w:rsidR="00DA4682" w:rsidRPr="008B2EE6" w:rsidRDefault="00DA4682" w:rsidP="008B2EE6">
      <w:pPr>
        <w:widowControl w:val="0"/>
        <w:autoSpaceDE w:val="0"/>
        <w:autoSpaceDN w:val="0"/>
        <w:adjustRightInd w:val="0"/>
        <w:jc w:val="both"/>
        <w:rPr>
          <w:rFonts w:ascii="Verdana" w:hAnsi="Verdana" w:cs="Arial"/>
          <w:sz w:val="24"/>
          <w:szCs w:val="24"/>
        </w:rPr>
      </w:pPr>
    </w:p>
    <w:p w14:paraId="25F843AB" w14:textId="77777777" w:rsidR="008B2EE6" w:rsidRPr="008B2EE6" w:rsidRDefault="008B2EE6" w:rsidP="008B2EE6">
      <w:pPr>
        <w:widowControl w:val="0"/>
        <w:autoSpaceDE w:val="0"/>
        <w:autoSpaceDN w:val="0"/>
        <w:adjustRightInd w:val="0"/>
        <w:jc w:val="both"/>
        <w:rPr>
          <w:rFonts w:ascii="Verdana" w:hAnsi="Verdana" w:cs="Arial"/>
          <w:b/>
          <w:sz w:val="24"/>
          <w:szCs w:val="24"/>
        </w:rPr>
      </w:pPr>
      <w:r w:rsidRPr="008B2EE6">
        <w:rPr>
          <w:rFonts w:ascii="Verdana" w:hAnsi="Verdana" w:cs="Arial"/>
          <w:b/>
          <w:sz w:val="24"/>
          <w:szCs w:val="24"/>
        </w:rPr>
        <w:t>Señores</w:t>
      </w:r>
    </w:p>
    <w:p w14:paraId="4048ADAB" w14:textId="643103DF" w:rsidR="008B2EE6" w:rsidRPr="008B2EE6" w:rsidRDefault="008B2EE6" w:rsidP="008B2EE6">
      <w:pPr>
        <w:widowControl w:val="0"/>
        <w:autoSpaceDE w:val="0"/>
        <w:autoSpaceDN w:val="0"/>
        <w:adjustRightInd w:val="0"/>
        <w:jc w:val="both"/>
        <w:rPr>
          <w:rFonts w:ascii="Verdana" w:hAnsi="Verdana" w:cs="Arial"/>
          <w:sz w:val="24"/>
          <w:szCs w:val="24"/>
        </w:rPr>
      </w:pPr>
      <w:r w:rsidRPr="008B2EE6">
        <w:rPr>
          <w:rFonts w:ascii="Verdana" w:hAnsi="Verdana" w:cs="Arial"/>
          <w:sz w:val="24"/>
          <w:szCs w:val="24"/>
        </w:rPr>
        <w:t xml:space="preserve">REPRESENTANTES LEGALES Y REVISORES FISCALES DE </w:t>
      </w:r>
      <w:r w:rsidR="00D34D11">
        <w:rPr>
          <w:rFonts w:ascii="Verdana" w:hAnsi="Verdana" w:cs="Arial"/>
          <w:sz w:val="24"/>
          <w:szCs w:val="24"/>
        </w:rPr>
        <w:t>LOS ESTABLECIMIENTOS DE CRÉDITO Y DE LAS INSTITUCIONES OFICIALES ESPECIALES</w:t>
      </w:r>
    </w:p>
    <w:p w14:paraId="3F3B5BF4" w14:textId="77777777" w:rsidR="008B2EE6" w:rsidRPr="008B2EE6" w:rsidRDefault="008B2EE6" w:rsidP="008B2EE6">
      <w:pPr>
        <w:widowControl w:val="0"/>
        <w:autoSpaceDE w:val="0"/>
        <w:autoSpaceDN w:val="0"/>
        <w:adjustRightInd w:val="0"/>
        <w:ind w:left="1560" w:hanging="1560"/>
        <w:jc w:val="both"/>
        <w:rPr>
          <w:rFonts w:ascii="Verdana" w:hAnsi="Verdana" w:cs="Arial"/>
          <w:b/>
          <w:sz w:val="24"/>
          <w:szCs w:val="24"/>
        </w:rPr>
      </w:pPr>
    </w:p>
    <w:p w14:paraId="63436985" w14:textId="77777777" w:rsidR="008B2EE6" w:rsidRPr="008B2EE6" w:rsidRDefault="008B2EE6" w:rsidP="008B2EE6">
      <w:pPr>
        <w:widowControl w:val="0"/>
        <w:autoSpaceDE w:val="0"/>
        <w:autoSpaceDN w:val="0"/>
        <w:adjustRightInd w:val="0"/>
        <w:ind w:left="1560" w:hanging="1560"/>
        <w:jc w:val="both"/>
        <w:rPr>
          <w:rFonts w:ascii="Verdana" w:hAnsi="Verdana" w:cs="Arial"/>
          <w:b/>
          <w:sz w:val="24"/>
          <w:szCs w:val="24"/>
        </w:rPr>
      </w:pPr>
    </w:p>
    <w:p w14:paraId="45E58426" w14:textId="547051E9" w:rsidR="00AA7F40" w:rsidRDefault="008B2EE6" w:rsidP="008B2EE6">
      <w:pPr>
        <w:widowControl w:val="0"/>
        <w:autoSpaceDE w:val="0"/>
        <w:autoSpaceDN w:val="0"/>
        <w:adjustRightInd w:val="0"/>
        <w:jc w:val="both"/>
        <w:rPr>
          <w:rFonts w:ascii="Verdana" w:hAnsi="Verdana" w:cs="Arial"/>
          <w:b/>
          <w:sz w:val="24"/>
          <w:szCs w:val="24"/>
        </w:rPr>
      </w:pPr>
      <w:r w:rsidRPr="008B2EE6">
        <w:rPr>
          <w:rFonts w:ascii="Verdana" w:hAnsi="Verdana" w:cs="Arial"/>
          <w:b/>
          <w:sz w:val="24"/>
          <w:szCs w:val="24"/>
        </w:rPr>
        <w:t xml:space="preserve">Referencia: Instrucciones </w:t>
      </w:r>
      <w:r w:rsidR="00D34D11">
        <w:rPr>
          <w:rFonts w:ascii="Verdana" w:hAnsi="Verdana" w:cs="Arial"/>
          <w:b/>
          <w:sz w:val="24"/>
          <w:szCs w:val="24"/>
        </w:rPr>
        <w:t>relacionadas con</w:t>
      </w:r>
      <w:r w:rsidR="00AA7F40">
        <w:rPr>
          <w:rFonts w:ascii="Verdana" w:hAnsi="Verdana" w:cs="Arial"/>
          <w:b/>
          <w:sz w:val="24"/>
          <w:szCs w:val="24"/>
        </w:rPr>
        <w:t xml:space="preserve"> la ponderación de los créditos </w:t>
      </w:r>
      <w:r w:rsidR="00D71997">
        <w:rPr>
          <w:rFonts w:ascii="Verdana" w:hAnsi="Verdana" w:cs="Arial"/>
          <w:b/>
          <w:sz w:val="24"/>
          <w:szCs w:val="24"/>
        </w:rPr>
        <w:t>de libranza</w:t>
      </w:r>
      <w:r w:rsidR="00256E05">
        <w:rPr>
          <w:rFonts w:ascii="Verdana" w:hAnsi="Verdana" w:cs="Arial"/>
          <w:b/>
          <w:sz w:val="24"/>
          <w:szCs w:val="24"/>
        </w:rPr>
        <w:t xml:space="preserve"> </w:t>
      </w:r>
      <w:r w:rsidR="00D13FC3">
        <w:rPr>
          <w:rFonts w:ascii="Verdana" w:hAnsi="Verdana" w:cs="Arial"/>
          <w:b/>
          <w:sz w:val="24"/>
          <w:szCs w:val="24"/>
        </w:rPr>
        <w:t xml:space="preserve">o descuento directo </w:t>
      </w:r>
      <w:r w:rsidR="00D71997">
        <w:rPr>
          <w:rFonts w:ascii="Verdana" w:hAnsi="Verdana" w:cs="Arial"/>
          <w:b/>
          <w:sz w:val="24"/>
          <w:szCs w:val="24"/>
        </w:rPr>
        <w:t xml:space="preserve">para efectos de </w:t>
      </w:r>
      <w:r w:rsidR="007B4437">
        <w:rPr>
          <w:rFonts w:ascii="Verdana" w:hAnsi="Verdana" w:cs="Arial"/>
          <w:b/>
          <w:sz w:val="24"/>
          <w:szCs w:val="24"/>
        </w:rPr>
        <w:t>la</w:t>
      </w:r>
      <w:r w:rsidR="003C581D">
        <w:rPr>
          <w:rFonts w:ascii="Verdana" w:hAnsi="Verdana" w:cs="Arial"/>
          <w:b/>
          <w:sz w:val="24"/>
          <w:szCs w:val="24"/>
        </w:rPr>
        <w:t xml:space="preserve"> relación de </w:t>
      </w:r>
      <w:r w:rsidR="00D71997">
        <w:rPr>
          <w:rFonts w:ascii="Verdana" w:hAnsi="Verdana" w:cs="Arial"/>
          <w:b/>
          <w:sz w:val="24"/>
          <w:szCs w:val="24"/>
        </w:rPr>
        <w:t xml:space="preserve">solvencia </w:t>
      </w:r>
      <w:r w:rsidR="003C581D">
        <w:rPr>
          <w:rFonts w:ascii="Verdana" w:hAnsi="Verdana" w:cs="Arial"/>
          <w:b/>
          <w:sz w:val="24"/>
          <w:szCs w:val="24"/>
        </w:rPr>
        <w:t xml:space="preserve">de los establecimientos de crédito </w:t>
      </w:r>
      <w:r w:rsidR="00D71997">
        <w:rPr>
          <w:rFonts w:ascii="Verdana" w:hAnsi="Verdana" w:cs="Arial"/>
          <w:b/>
          <w:sz w:val="24"/>
          <w:szCs w:val="24"/>
        </w:rPr>
        <w:t xml:space="preserve">y con el régimen de grandes exposiciones, de acuerdo con lo previsto en el </w:t>
      </w:r>
      <w:bookmarkStart w:id="0" w:name="_Hlk199413209"/>
      <w:r w:rsidR="00D71997">
        <w:rPr>
          <w:rFonts w:ascii="Verdana" w:hAnsi="Verdana" w:cs="Arial"/>
          <w:b/>
          <w:sz w:val="24"/>
          <w:szCs w:val="24"/>
        </w:rPr>
        <w:t>Decreto 0573 de 2025</w:t>
      </w:r>
      <w:bookmarkEnd w:id="0"/>
    </w:p>
    <w:p w14:paraId="2348F7D1" w14:textId="77777777" w:rsidR="008B2EE6" w:rsidRDefault="008B2EE6" w:rsidP="008B2EE6">
      <w:pPr>
        <w:widowControl w:val="0"/>
        <w:adjustRightInd w:val="0"/>
        <w:jc w:val="both"/>
        <w:rPr>
          <w:rFonts w:ascii="Verdana" w:hAnsi="Verdana" w:cs="Arial"/>
          <w:b/>
          <w:bCs/>
          <w:sz w:val="24"/>
          <w:szCs w:val="24"/>
        </w:rPr>
      </w:pPr>
    </w:p>
    <w:p w14:paraId="793F333C" w14:textId="77777777" w:rsidR="00063B7E" w:rsidRPr="008B2EE6" w:rsidRDefault="00063B7E" w:rsidP="008B2EE6">
      <w:pPr>
        <w:widowControl w:val="0"/>
        <w:adjustRightInd w:val="0"/>
        <w:jc w:val="both"/>
        <w:rPr>
          <w:rFonts w:ascii="Verdana" w:hAnsi="Verdana" w:cs="Arial"/>
          <w:b/>
          <w:bCs/>
          <w:sz w:val="24"/>
          <w:szCs w:val="24"/>
        </w:rPr>
      </w:pPr>
    </w:p>
    <w:p w14:paraId="4157C785" w14:textId="77777777" w:rsidR="008B2EE6" w:rsidRPr="008B2EE6" w:rsidRDefault="008B2EE6" w:rsidP="008B2EE6">
      <w:pPr>
        <w:widowControl w:val="0"/>
        <w:adjustRightInd w:val="0"/>
        <w:jc w:val="both"/>
        <w:rPr>
          <w:rFonts w:ascii="Verdana" w:hAnsi="Verdana" w:cs="Arial"/>
          <w:color w:val="000000"/>
          <w:sz w:val="24"/>
          <w:szCs w:val="24"/>
        </w:rPr>
      </w:pPr>
      <w:r w:rsidRPr="008B2EE6">
        <w:rPr>
          <w:rFonts w:ascii="Verdana" w:hAnsi="Verdana" w:cs="Arial"/>
          <w:color w:val="000000"/>
          <w:sz w:val="24"/>
          <w:szCs w:val="24"/>
        </w:rPr>
        <w:t>Apreciados señores:</w:t>
      </w:r>
    </w:p>
    <w:p w14:paraId="5F8E14CD" w14:textId="77777777" w:rsidR="008B2EE6" w:rsidRPr="008C66CB" w:rsidRDefault="008B2EE6" w:rsidP="008B2EE6">
      <w:pPr>
        <w:pStyle w:val="Piedepgina"/>
        <w:tabs>
          <w:tab w:val="right" w:pos="8789"/>
        </w:tabs>
        <w:jc w:val="both"/>
        <w:rPr>
          <w:rFonts w:ascii="Verdana" w:hAnsi="Verdana" w:cs="Arial"/>
          <w:sz w:val="24"/>
          <w:szCs w:val="24"/>
          <w:lang w:val="es-ES"/>
        </w:rPr>
      </w:pPr>
    </w:p>
    <w:p w14:paraId="41048188" w14:textId="39AA0F8D" w:rsidR="00716050" w:rsidRDefault="00716050" w:rsidP="008B2EE6">
      <w:pPr>
        <w:pStyle w:val="Piedepgina"/>
        <w:tabs>
          <w:tab w:val="right" w:pos="8789"/>
        </w:tabs>
        <w:jc w:val="both"/>
        <w:rPr>
          <w:rFonts w:ascii="Verdana" w:hAnsi="Verdana" w:cs="Arial"/>
          <w:bCs/>
          <w:sz w:val="24"/>
          <w:szCs w:val="24"/>
        </w:rPr>
      </w:pPr>
      <w:r>
        <w:rPr>
          <w:rFonts w:ascii="Verdana" w:hAnsi="Verdana" w:cs="Arial"/>
          <w:sz w:val="24"/>
          <w:szCs w:val="24"/>
          <w:lang w:val="es-ES"/>
        </w:rPr>
        <w:t xml:space="preserve">En los últimos años, el sistema financiero </w:t>
      </w:r>
      <w:r w:rsidR="00A51AA4">
        <w:rPr>
          <w:rFonts w:ascii="Verdana" w:hAnsi="Verdana" w:cs="Arial"/>
          <w:sz w:val="24"/>
          <w:szCs w:val="24"/>
          <w:lang w:val="es-ES"/>
        </w:rPr>
        <w:t>c</w:t>
      </w:r>
      <w:r>
        <w:rPr>
          <w:rFonts w:ascii="Verdana" w:hAnsi="Verdana" w:cs="Arial"/>
          <w:sz w:val="24"/>
          <w:szCs w:val="24"/>
          <w:lang w:val="es-ES"/>
        </w:rPr>
        <w:t xml:space="preserve">olombiano ha presentado avances significativos </w:t>
      </w:r>
      <w:r w:rsidR="001B1AF0">
        <w:rPr>
          <w:rFonts w:ascii="Verdana" w:hAnsi="Verdana" w:cs="Arial"/>
          <w:sz w:val="24"/>
          <w:szCs w:val="24"/>
          <w:lang w:val="es-ES"/>
        </w:rPr>
        <w:t>en el proceso de convergencia a los estándares del Comité de Basilea</w:t>
      </w:r>
      <w:r w:rsidR="00A51AA4">
        <w:rPr>
          <w:rFonts w:ascii="Verdana" w:hAnsi="Verdana" w:cs="Arial"/>
          <w:sz w:val="24"/>
          <w:szCs w:val="24"/>
          <w:lang w:val="es-ES"/>
        </w:rPr>
        <w:t>, y en la adopción de las mejores prácticas internacionales para la gestión de riesgos.</w:t>
      </w:r>
      <w:r w:rsidR="00FF6FC6">
        <w:rPr>
          <w:rFonts w:ascii="Verdana" w:hAnsi="Verdana" w:cs="Arial"/>
          <w:sz w:val="24"/>
          <w:szCs w:val="24"/>
          <w:lang w:val="es-ES"/>
        </w:rPr>
        <w:t xml:space="preserve"> En este sentido, </w:t>
      </w:r>
      <w:r w:rsidR="007F08AB">
        <w:rPr>
          <w:rFonts w:ascii="Verdana" w:hAnsi="Verdana" w:cs="Arial"/>
          <w:sz w:val="24"/>
          <w:szCs w:val="24"/>
          <w:lang w:val="es-ES"/>
        </w:rPr>
        <w:t xml:space="preserve">mediante el Decreto 1477 de 2018 </w:t>
      </w:r>
      <w:r w:rsidR="005F6693">
        <w:rPr>
          <w:rFonts w:ascii="Verdana" w:hAnsi="Verdana" w:cs="Arial"/>
          <w:sz w:val="24"/>
          <w:szCs w:val="24"/>
          <w:lang w:val="es-ES"/>
        </w:rPr>
        <w:t>el Gobierno Nacional robusteció el marco de solvencia de los establecimientos de crédito</w:t>
      </w:r>
      <w:r w:rsidR="00242982">
        <w:rPr>
          <w:rFonts w:ascii="Verdana" w:hAnsi="Verdana" w:cs="Arial"/>
          <w:sz w:val="24"/>
          <w:szCs w:val="24"/>
          <w:lang w:val="es-ES"/>
        </w:rPr>
        <w:t xml:space="preserve">, </w:t>
      </w:r>
      <w:r w:rsidR="00684928">
        <w:rPr>
          <w:rFonts w:ascii="Verdana" w:hAnsi="Verdana" w:cs="Arial"/>
          <w:sz w:val="24"/>
          <w:szCs w:val="24"/>
          <w:lang w:val="es-ES"/>
        </w:rPr>
        <w:t>a partir d</w:t>
      </w:r>
      <w:r w:rsidR="00FD6C7A">
        <w:rPr>
          <w:rFonts w:ascii="Verdana" w:hAnsi="Verdana" w:cs="Arial"/>
          <w:sz w:val="24"/>
          <w:szCs w:val="24"/>
          <w:lang w:val="es-ES"/>
        </w:rPr>
        <w:t xml:space="preserve">e requisitos </w:t>
      </w:r>
      <w:r w:rsidR="00CA530B">
        <w:rPr>
          <w:rFonts w:ascii="Verdana" w:hAnsi="Verdana" w:cs="Arial"/>
          <w:sz w:val="24"/>
          <w:szCs w:val="24"/>
          <w:lang w:val="es-ES"/>
        </w:rPr>
        <w:t xml:space="preserve">de cantidad y calidad de capital, ponderación de activos por nivel de riesgo y colchones de capital alineados con </w:t>
      </w:r>
      <w:r w:rsidR="00B13224">
        <w:rPr>
          <w:rFonts w:ascii="Verdana" w:hAnsi="Verdana" w:cs="Arial"/>
          <w:sz w:val="24"/>
          <w:szCs w:val="24"/>
          <w:lang w:val="es-ES"/>
        </w:rPr>
        <w:t xml:space="preserve">el marco de Basilea III. </w:t>
      </w:r>
      <w:r w:rsidR="00927940">
        <w:rPr>
          <w:rFonts w:ascii="Verdana" w:hAnsi="Verdana" w:cs="Arial"/>
          <w:sz w:val="24"/>
          <w:szCs w:val="24"/>
          <w:lang w:val="es-ES"/>
        </w:rPr>
        <w:t xml:space="preserve">De acuerdo con esta normatividad, la Superintendencia Financiera de Colombia (SFC) </w:t>
      </w:r>
      <w:r w:rsidR="00DD21E6">
        <w:rPr>
          <w:rFonts w:ascii="Verdana" w:hAnsi="Verdana" w:cs="Arial"/>
          <w:sz w:val="24"/>
          <w:szCs w:val="24"/>
          <w:lang w:val="es-ES"/>
        </w:rPr>
        <w:t xml:space="preserve">expidió el Capítulo XIII-16 de la Circular Básica Contable y Financiera </w:t>
      </w:r>
      <w:r w:rsidR="00DD21E6" w:rsidRPr="00DD21E6">
        <w:rPr>
          <w:rFonts w:ascii="Verdana" w:hAnsi="Verdana" w:cs="Arial"/>
          <w:sz w:val="24"/>
          <w:szCs w:val="24"/>
          <w:lang w:val="es-ES"/>
        </w:rPr>
        <w:t>(</w:t>
      </w:r>
      <w:r w:rsidR="00DD21E6">
        <w:rPr>
          <w:rFonts w:ascii="Verdana" w:hAnsi="Verdana" w:cs="Arial"/>
          <w:bCs/>
          <w:sz w:val="24"/>
          <w:szCs w:val="24"/>
        </w:rPr>
        <w:t>CBCF)</w:t>
      </w:r>
      <w:r w:rsidR="00425937">
        <w:rPr>
          <w:rFonts w:ascii="Verdana" w:hAnsi="Verdana" w:cs="Arial"/>
          <w:bCs/>
          <w:sz w:val="24"/>
          <w:szCs w:val="24"/>
        </w:rPr>
        <w:t xml:space="preserve">, mediante el cual se impartieron instrucciones sobre la solvencia mínima de los establecimientos de crédito. </w:t>
      </w:r>
    </w:p>
    <w:p w14:paraId="03794D90" w14:textId="77777777" w:rsidR="00425937" w:rsidRDefault="00425937" w:rsidP="008B2EE6">
      <w:pPr>
        <w:pStyle w:val="Piedepgina"/>
        <w:tabs>
          <w:tab w:val="right" w:pos="8789"/>
        </w:tabs>
        <w:jc w:val="both"/>
        <w:rPr>
          <w:rFonts w:ascii="Verdana" w:hAnsi="Verdana" w:cs="Arial"/>
          <w:bCs/>
          <w:sz w:val="24"/>
          <w:szCs w:val="24"/>
        </w:rPr>
      </w:pPr>
    </w:p>
    <w:p w14:paraId="37F65287" w14:textId="539024E1" w:rsidR="00425C81" w:rsidRDefault="00B54E29" w:rsidP="008B2EE6">
      <w:pPr>
        <w:pStyle w:val="Piedepgina"/>
        <w:tabs>
          <w:tab w:val="right" w:pos="8789"/>
        </w:tabs>
        <w:jc w:val="both"/>
        <w:rPr>
          <w:rFonts w:ascii="Verdana" w:hAnsi="Verdana" w:cs="Arial"/>
          <w:sz w:val="24"/>
          <w:szCs w:val="24"/>
          <w:lang w:val="es-ES"/>
        </w:rPr>
      </w:pPr>
      <w:r>
        <w:rPr>
          <w:rFonts w:ascii="Verdana" w:hAnsi="Verdana" w:cs="Arial"/>
          <w:bCs/>
          <w:sz w:val="24"/>
          <w:szCs w:val="24"/>
        </w:rPr>
        <w:t xml:space="preserve">En línea con lo anterior, </w:t>
      </w:r>
      <w:r w:rsidR="00417DC5">
        <w:rPr>
          <w:rFonts w:ascii="Verdana" w:hAnsi="Verdana" w:cs="Arial"/>
          <w:bCs/>
          <w:sz w:val="24"/>
          <w:szCs w:val="24"/>
        </w:rPr>
        <w:t xml:space="preserve">en seguimiento a las recomendaciones del </w:t>
      </w:r>
      <w:r w:rsidR="006833EE" w:rsidRPr="006833EE">
        <w:rPr>
          <w:rFonts w:ascii="Verdana" w:hAnsi="Verdana" w:cs="Arial"/>
          <w:bCs/>
          <w:sz w:val="24"/>
          <w:szCs w:val="24"/>
        </w:rPr>
        <w:t>Programa de Evaluación del Sector Financiero (FSAP)</w:t>
      </w:r>
      <w:r w:rsidR="0011119D">
        <w:rPr>
          <w:rFonts w:ascii="Verdana" w:hAnsi="Verdana" w:cs="Arial"/>
          <w:bCs/>
          <w:sz w:val="24"/>
          <w:szCs w:val="24"/>
        </w:rPr>
        <w:t xml:space="preserve">, el Gobierno Nacional expidió el Decreto 1533 de 2022, con el fin de establecer un marco para controlar el riesgo de concentración </w:t>
      </w:r>
      <w:r w:rsidR="00425C81">
        <w:rPr>
          <w:rFonts w:ascii="Verdana" w:hAnsi="Verdana" w:cs="Arial"/>
          <w:bCs/>
          <w:sz w:val="24"/>
          <w:szCs w:val="24"/>
        </w:rPr>
        <w:t xml:space="preserve">y así </w:t>
      </w:r>
      <w:r w:rsidR="001A6AA6" w:rsidRPr="008C66CB">
        <w:rPr>
          <w:rFonts w:ascii="Verdana" w:hAnsi="Verdana" w:cs="Arial"/>
          <w:sz w:val="24"/>
          <w:szCs w:val="24"/>
          <w:lang w:val="es-ES"/>
        </w:rPr>
        <w:t xml:space="preserve">mitigar la pérdida máxima que podría sufrir una entidad vigilada en caso de que alguna de sus contrapartes se vuelva insolvente. </w:t>
      </w:r>
      <w:r w:rsidR="00425C81">
        <w:rPr>
          <w:rFonts w:ascii="Verdana" w:hAnsi="Verdana" w:cs="Arial"/>
          <w:sz w:val="24"/>
          <w:szCs w:val="24"/>
          <w:lang w:val="es-ES"/>
        </w:rPr>
        <w:t xml:space="preserve">En desarrollo de este Decreto, la SFC expidió </w:t>
      </w:r>
      <w:r w:rsidR="000D1E9D">
        <w:rPr>
          <w:rFonts w:ascii="Verdana" w:hAnsi="Verdana" w:cs="Arial"/>
          <w:sz w:val="24"/>
          <w:szCs w:val="24"/>
          <w:lang w:val="es-ES"/>
        </w:rPr>
        <w:t>el Capítulo XIII-18 de la CBCF</w:t>
      </w:r>
      <w:r w:rsidR="00D71890">
        <w:rPr>
          <w:rFonts w:ascii="Verdana" w:hAnsi="Verdana" w:cs="Arial"/>
          <w:sz w:val="24"/>
          <w:szCs w:val="24"/>
          <w:lang w:val="es-ES"/>
        </w:rPr>
        <w:t xml:space="preserve">, con el fin de establecer lineamientos para la aplicación del régimen de grandes exposiciones de los establecimientos de crédito, y cupos individuales de crédito de las demás entidades vigiladas. </w:t>
      </w:r>
    </w:p>
    <w:p w14:paraId="589F8FD3" w14:textId="77777777" w:rsidR="00425C81" w:rsidRDefault="00425C81" w:rsidP="008B2EE6">
      <w:pPr>
        <w:pStyle w:val="Piedepgina"/>
        <w:tabs>
          <w:tab w:val="right" w:pos="8789"/>
        </w:tabs>
        <w:jc w:val="both"/>
        <w:rPr>
          <w:rFonts w:ascii="Verdana" w:hAnsi="Verdana" w:cs="Arial"/>
          <w:sz w:val="24"/>
          <w:szCs w:val="24"/>
          <w:lang w:val="es-ES"/>
        </w:rPr>
      </w:pPr>
    </w:p>
    <w:p w14:paraId="27368F58" w14:textId="54CB944F" w:rsidR="00425C81" w:rsidRDefault="006B7ACD" w:rsidP="008B2EE6">
      <w:pPr>
        <w:pStyle w:val="Piedepgina"/>
        <w:tabs>
          <w:tab w:val="right" w:pos="8789"/>
        </w:tabs>
        <w:jc w:val="both"/>
        <w:rPr>
          <w:rFonts w:ascii="Verdana" w:hAnsi="Verdana" w:cs="Arial"/>
          <w:sz w:val="24"/>
          <w:szCs w:val="24"/>
          <w:lang w:val="es-ES"/>
        </w:rPr>
      </w:pPr>
      <w:r>
        <w:rPr>
          <w:rFonts w:ascii="Verdana" w:hAnsi="Verdana" w:cs="Arial"/>
          <w:sz w:val="24"/>
          <w:szCs w:val="24"/>
          <w:lang w:val="es-ES"/>
        </w:rPr>
        <w:t xml:space="preserve">Ahora bien, </w:t>
      </w:r>
      <w:r w:rsidR="00BA35DE">
        <w:rPr>
          <w:rFonts w:ascii="Verdana" w:hAnsi="Verdana" w:cs="Arial"/>
          <w:sz w:val="24"/>
          <w:szCs w:val="24"/>
          <w:lang w:val="es-ES"/>
        </w:rPr>
        <w:t xml:space="preserve">en el proceso de </w:t>
      </w:r>
      <w:r w:rsidR="00BB5FDF">
        <w:rPr>
          <w:rFonts w:ascii="Verdana" w:hAnsi="Verdana" w:cs="Arial"/>
          <w:sz w:val="24"/>
          <w:szCs w:val="24"/>
          <w:lang w:val="es-ES"/>
        </w:rPr>
        <w:t>implementación de esta normatividad al sistema financiero local,</w:t>
      </w:r>
      <w:r w:rsidR="00AA5D2A">
        <w:rPr>
          <w:rFonts w:ascii="Verdana" w:hAnsi="Verdana" w:cs="Arial"/>
          <w:sz w:val="24"/>
          <w:szCs w:val="24"/>
          <w:lang w:val="es-ES"/>
        </w:rPr>
        <w:t xml:space="preserve"> el Gobierno Nacional </w:t>
      </w:r>
      <w:r w:rsidR="008F2A41">
        <w:rPr>
          <w:rFonts w:ascii="Verdana" w:hAnsi="Verdana" w:cs="Arial"/>
          <w:sz w:val="24"/>
          <w:szCs w:val="24"/>
          <w:lang w:val="es-ES"/>
        </w:rPr>
        <w:t>encontró oportunidades de adaptación del estándar a las particularidades</w:t>
      </w:r>
      <w:r w:rsidR="00652368">
        <w:rPr>
          <w:rFonts w:ascii="Verdana" w:hAnsi="Verdana" w:cs="Arial"/>
          <w:sz w:val="24"/>
          <w:szCs w:val="24"/>
          <w:lang w:val="es-ES"/>
        </w:rPr>
        <w:t xml:space="preserve"> </w:t>
      </w:r>
      <w:r w:rsidR="00BE3014">
        <w:rPr>
          <w:rFonts w:ascii="Verdana" w:hAnsi="Verdana" w:cs="Arial"/>
          <w:sz w:val="24"/>
          <w:szCs w:val="24"/>
          <w:lang w:val="es-ES"/>
        </w:rPr>
        <w:t>del sistema</w:t>
      </w:r>
      <w:r w:rsidR="00652368">
        <w:rPr>
          <w:rFonts w:ascii="Verdana" w:hAnsi="Verdana" w:cs="Arial"/>
          <w:sz w:val="24"/>
          <w:szCs w:val="24"/>
          <w:lang w:val="es-ES"/>
        </w:rPr>
        <w:t>, en lo referente a la</w:t>
      </w:r>
      <w:r w:rsidR="00BE3014">
        <w:rPr>
          <w:rFonts w:ascii="Verdana" w:hAnsi="Verdana" w:cs="Arial"/>
          <w:sz w:val="24"/>
          <w:szCs w:val="24"/>
          <w:lang w:val="es-ES"/>
        </w:rPr>
        <w:t xml:space="preserve"> ponderación por riesgo de crédito de l</w:t>
      </w:r>
      <w:r w:rsidR="000B015A">
        <w:rPr>
          <w:rFonts w:ascii="Verdana" w:hAnsi="Verdana" w:cs="Arial"/>
          <w:sz w:val="24"/>
          <w:szCs w:val="24"/>
          <w:lang w:val="es-ES"/>
        </w:rPr>
        <w:t>as exposiciones en</w:t>
      </w:r>
      <w:r w:rsidR="00BE3014">
        <w:rPr>
          <w:rFonts w:ascii="Verdana" w:hAnsi="Verdana" w:cs="Arial"/>
          <w:sz w:val="24"/>
          <w:szCs w:val="24"/>
          <w:lang w:val="es-ES"/>
        </w:rPr>
        <w:t xml:space="preserve"> crédito</w:t>
      </w:r>
      <w:r w:rsidR="000B015A">
        <w:rPr>
          <w:rFonts w:ascii="Verdana" w:hAnsi="Verdana" w:cs="Arial"/>
          <w:sz w:val="24"/>
          <w:szCs w:val="24"/>
          <w:lang w:val="es-ES"/>
        </w:rPr>
        <w:t>s</w:t>
      </w:r>
      <w:r w:rsidR="00BE3014">
        <w:rPr>
          <w:rFonts w:ascii="Verdana" w:hAnsi="Verdana" w:cs="Arial"/>
          <w:sz w:val="24"/>
          <w:szCs w:val="24"/>
          <w:lang w:val="es-ES"/>
        </w:rPr>
        <w:t xml:space="preserve"> de libranza. </w:t>
      </w:r>
      <w:r w:rsidR="00674A19">
        <w:rPr>
          <w:rFonts w:ascii="Verdana" w:hAnsi="Verdana" w:cs="Arial"/>
          <w:sz w:val="24"/>
          <w:szCs w:val="24"/>
          <w:lang w:val="es-ES"/>
        </w:rPr>
        <w:t xml:space="preserve">Así las cosas, a partir de estudios técnicos </w:t>
      </w:r>
      <w:r w:rsidR="00232EE0">
        <w:rPr>
          <w:rFonts w:ascii="Verdana" w:hAnsi="Verdana" w:cs="Arial"/>
          <w:sz w:val="24"/>
          <w:szCs w:val="24"/>
          <w:lang w:val="es-ES"/>
        </w:rPr>
        <w:t xml:space="preserve">y </w:t>
      </w:r>
      <w:r w:rsidR="00674A19">
        <w:rPr>
          <w:rFonts w:ascii="Verdana" w:hAnsi="Verdana" w:cs="Arial"/>
          <w:sz w:val="24"/>
          <w:szCs w:val="24"/>
          <w:lang w:val="es-ES"/>
        </w:rPr>
        <w:t>estadísticos</w:t>
      </w:r>
      <w:r w:rsidR="00232EE0">
        <w:rPr>
          <w:rFonts w:ascii="Verdana" w:hAnsi="Verdana" w:cs="Arial"/>
          <w:sz w:val="24"/>
          <w:szCs w:val="24"/>
          <w:lang w:val="es-ES"/>
        </w:rPr>
        <w:t xml:space="preserve">, el Decreto </w:t>
      </w:r>
      <w:r w:rsidR="00232EE0" w:rsidRPr="00232EE0">
        <w:rPr>
          <w:rFonts w:ascii="Verdana" w:hAnsi="Verdana" w:cs="Arial"/>
          <w:sz w:val="24"/>
          <w:szCs w:val="24"/>
          <w:lang w:val="es-ES"/>
        </w:rPr>
        <w:t>0573 de 2025</w:t>
      </w:r>
      <w:r w:rsidR="00232EE0">
        <w:rPr>
          <w:rFonts w:ascii="Verdana" w:hAnsi="Verdana" w:cs="Arial"/>
          <w:sz w:val="24"/>
          <w:szCs w:val="24"/>
          <w:lang w:val="es-ES"/>
        </w:rPr>
        <w:t xml:space="preserve"> modificó el ponderador aplicable a los créditos de </w:t>
      </w:r>
      <w:r w:rsidR="00232EE0">
        <w:rPr>
          <w:rFonts w:ascii="Verdana" w:hAnsi="Verdana" w:cs="Arial"/>
          <w:sz w:val="24"/>
          <w:szCs w:val="24"/>
          <w:lang w:val="es-ES"/>
        </w:rPr>
        <w:lastRenderedPageBreak/>
        <w:t xml:space="preserve">libranza </w:t>
      </w:r>
      <w:r w:rsidR="00F47BE8">
        <w:rPr>
          <w:rFonts w:ascii="Verdana" w:hAnsi="Verdana" w:cs="Arial"/>
          <w:sz w:val="24"/>
          <w:szCs w:val="24"/>
          <w:lang w:val="es-ES"/>
        </w:rPr>
        <w:t xml:space="preserve">en el cálculo de los activos ponderados por nivel de riesgo, razón por la cual resulta necesario actualizar </w:t>
      </w:r>
      <w:r w:rsidR="000F65DC">
        <w:rPr>
          <w:rFonts w:ascii="Verdana" w:hAnsi="Verdana" w:cs="Arial"/>
          <w:sz w:val="24"/>
          <w:szCs w:val="24"/>
          <w:lang w:val="es-ES"/>
        </w:rPr>
        <w:t>las instrucciones de la SFC en esta materia.</w:t>
      </w:r>
    </w:p>
    <w:p w14:paraId="6AB07427" w14:textId="77777777" w:rsidR="00C33FD2" w:rsidRDefault="00C33FD2" w:rsidP="008B2EE6">
      <w:pPr>
        <w:pStyle w:val="Piedepgina"/>
        <w:tabs>
          <w:tab w:val="right" w:pos="8789"/>
        </w:tabs>
        <w:jc w:val="both"/>
        <w:rPr>
          <w:rFonts w:ascii="Verdana" w:hAnsi="Verdana" w:cs="Arial"/>
          <w:sz w:val="24"/>
          <w:szCs w:val="24"/>
          <w:lang w:val="es-ES"/>
        </w:rPr>
      </w:pPr>
    </w:p>
    <w:p w14:paraId="209E7CDE" w14:textId="77777777" w:rsidR="008E22B5" w:rsidRDefault="000F65DC" w:rsidP="008B2EE6">
      <w:pPr>
        <w:pStyle w:val="Piedepgina"/>
        <w:tabs>
          <w:tab w:val="right" w:pos="8789"/>
        </w:tabs>
        <w:jc w:val="both"/>
        <w:rPr>
          <w:rFonts w:ascii="Verdana" w:hAnsi="Verdana" w:cs="Arial"/>
          <w:sz w:val="24"/>
          <w:szCs w:val="24"/>
          <w:lang w:val="es-ES"/>
        </w:rPr>
      </w:pPr>
      <w:r>
        <w:rPr>
          <w:rFonts w:ascii="Verdana" w:hAnsi="Verdana" w:cs="Arial"/>
          <w:sz w:val="24"/>
          <w:szCs w:val="24"/>
        </w:rPr>
        <w:t>En este mi</w:t>
      </w:r>
      <w:r w:rsidR="00B33223">
        <w:rPr>
          <w:rFonts w:ascii="Verdana" w:hAnsi="Verdana" w:cs="Arial"/>
          <w:sz w:val="24"/>
          <w:szCs w:val="24"/>
        </w:rPr>
        <w:t>smo sentido, el</w:t>
      </w:r>
      <w:r w:rsidR="00B33223">
        <w:rPr>
          <w:rFonts w:ascii="Verdana" w:hAnsi="Verdana" w:cs="Arial"/>
          <w:sz w:val="24"/>
          <w:szCs w:val="24"/>
          <w:lang w:val="es-ES"/>
        </w:rPr>
        <w:t xml:space="preserve"> Decreto </w:t>
      </w:r>
      <w:r w:rsidR="00B33223" w:rsidRPr="00232EE0">
        <w:rPr>
          <w:rFonts w:ascii="Verdana" w:hAnsi="Verdana" w:cs="Arial"/>
          <w:sz w:val="24"/>
          <w:szCs w:val="24"/>
          <w:lang w:val="es-ES"/>
        </w:rPr>
        <w:t>0573 de 2025</w:t>
      </w:r>
      <w:r w:rsidR="00B33223">
        <w:rPr>
          <w:rFonts w:ascii="Verdana" w:hAnsi="Verdana" w:cs="Arial"/>
          <w:sz w:val="24"/>
          <w:szCs w:val="24"/>
          <w:lang w:val="es-ES"/>
        </w:rPr>
        <w:t xml:space="preserve"> modificó el régimen de grandes exposiciones</w:t>
      </w:r>
      <w:r w:rsidR="00034082">
        <w:rPr>
          <w:rFonts w:ascii="Verdana" w:hAnsi="Verdana" w:cs="Arial"/>
          <w:sz w:val="24"/>
          <w:szCs w:val="24"/>
          <w:lang w:val="es-ES"/>
        </w:rPr>
        <w:t xml:space="preserve"> en lo relacionado </w:t>
      </w:r>
      <w:r w:rsidR="0098681C">
        <w:rPr>
          <w:rFonts w:ascii="Verdana" w:hAnsi="Verdana" w:cs="Arial"/>
          <w:sz w:val="24"/>
          <w:szCs w:val="24"/>
          <w:lang w:val="es-ES"/>
        </w:rPr>
        <w:t>con</w:t>
      </w:r>
      <w:r w:rsidR="00FB0CAA">
        <w:rPr>
          <w:rFonts w:ascii="Verdana" w:hAnsi="Verdana" w:cs="Arial"/>
          <w:sz w:val="24"/>
          <w:szCs w:val="24"/>
          <w:lang w:val="es-ES"/>
        </w:rPr>
        <w:t>:</w:t>
      </w:r>
      <w:r w:rsidR="00E625CB">
        <w:rPr>
          <w:rFonts w:ascii="Verdana" w:hAnsi="Verdana" w:cs="Arial"/>
          <w:sz w:val="24"/>
          <w:szCs w:val="24"/>
          <w:lang w:val="es-ES"/>
        </w:rPr>
        <w:t xml:space="preserve"> (i)</w:t>
      </w:r>
      <w:r w:rsidR="0098681C">
        <w:rPr>
          <w:rFonts w:ascii="Verdana" w:hAnsi="Verdana" w:cs="Arial"/>
          <w:sz w:val="24"/>
          <w:szCs w:val="24"/>
          <w:lang w:val="es-ES"/>
        </w:rPr>
        <w:t xml:space="preserve"> el cómputo de exposiciones por </w:t>
      </w:r>
      <w:r w:rsidR="002F18AC">
        <w:rPr>
          <w:rFonts w:ascii="Verdana" w:hAnsi="Verdana" w:cs="Arial"/>
          <w:sz w:val="24"/>
          <w:szCs w:val="24"/>
          <w:lang w:val="es-ES"/>
        </w:rPr>
        <w:t xml:space="preserve">garantías </w:t>
      </w:r>
      <w:r w:rsidR="00E625CB">
        <w:rPr>
          <w:rFonts w:ascii="Verdana" w:hAnsi="Verdana" w:cs="Arial"/>
          <w:sz w:val="24"/>
          <w:szCs w:val="24"/>
          <w:lang w:val="es-ES"/>
        </w:rPr>
        <w:t>emitidas por fondos de garantías</w:t>
      </w:r>
      <w:r w:rsidR="00FB0CAA">
        <w:rPr>
          <w:rFonts w:ascii="Verdana" w:hAnsi="Verdana" w:cs="Arial"/>
          <w:sz w:val="24"/>
          <w:szCs w:val="24"/>
          <w:lang w:val="es-ES"/>
        </w:rPr>
        <w:t>;</w:t>
      </w:r>
      <w:r w:rsidR="0060679F">
        <w:rPr>
          <w:rFonts w:ascii="Verdana" w:hAnsi="Verdana" w:cs="Arial"/>
          <w:sz w:val="24"/>
          <w:szCs w:val="24"/>
          <w:lang w:val="es-ES"/>
        </w:rPr>
        <w:t xml:space="preserve"> (ii) </w:t>
      </w:r>
      <w:r w:rsidR="00FB0CAA">
        <w:rPr>
          <w:rFonts w:ascii="Verdana" w:hAnsi="Verdana" w:cs="Arial"/>
          <w:sz w:val="24"/>
          <w:szCs w:val="24"/>
          <w:lang w:val="es-ES"/>
        </w:rPr>
        <w:t xml:space="preserve">la conformación de grupos conectados de contrapartes </w:t>
      </w:r>
      <w:r w:rsidR="00AC287A">
        <w:rPr>
          <w:rFonts w:ascii="Verdana" w:hAnsi="Verdana" w:cs="Arial"/>
          <w:sz w:val="24"/>
          <w:szCs w:val="24"/>
          <w:lang w:val="es-ES"/>
        </w:rPr>
        <w:t>de entidades territoriales y sus entidades descentralizadas;</w:t>
      </w:r>
      <w:r w:rsidR="000B0598">
        <w:rPr>
          <w:rFonts w:ascii="Verdana" w:hAnsi="Verdana" w:cs="Arial"/>
          <w:sz w:val="24"/>
          <w:szCs w:val="24"/>
          <w:lang w:val="es-ES"/>
        </w:rPr>
        <w:t xml:space="preserve"> y</w:t>
      </w:r>
      <w:r w:rsidR="00AC287A">
        <w:rPr>
          <w:rFonts w:ascii="Verdana" w:hAnsi="Verdana" w:cs="Arial"/>
          <w:sz w:val="24"/>
          <w:szCs w:val="24"/>
          <w:lang w:val="es-ES"/>
        </w:rPr>
        <w:t xml:space="preserve"> (iii)</w:t>
      </w:r>
      <w:r w:rsidR="00704C50">
        <w:rPr>
          <w:rFonts w:ascii="Verdana" w:hAnsi="Verdana" w:cs="Arial"/>
          <w:sz w:val="24"/>
          <w:szCs w:val="24"/>
          <w:lang w:val="es-ES"/>
        </w:rPr>
        <w:t xml:space="preserve"> la excepción aplicable a las inversiones de capital </w:t>
      </w:r>
      <w:r w:rsidR="000B0598">
        <w:rPr>
          <w:rFonts w:ascii="Verdana" w:hAnsi="Verdana" w:cs="Arial"/>
          <w:sz w:val="24"/>
          <w:szCs w:val="24"/>
          <w:lang w:val="es-ES"/>
        </w:rPr>
        <w:t>en otras entidades vigiladas</w:t>
      </w:r>
      <w:r w:rsidR="00BF7874">
        <w:rPr>
          <w:rFonts w:ascii="Verdana" w:hAnsi="Verdana" w:cs="Arial"/>
          <w:sz w:val="24"/>
          <w:szCs w:val="24"/>
          <w:lang w:val="es-ES"/>
        </w:rPr>
        <w:t>.</w:t>
      </w:r>
      <w:r w:rsidR="002A775A">
        <w:rPr>
          <w:rFonts w:ascii="Verdana" w:hAnsi="Verdana" w:cs="Arial"/>
          <w:sz w:val="24"/>
          <w:szCs w:val="24"/>
          <w:lang w:val="es-ES"/>
        </w:rPr>
        <w:t xml:space="preserve"> </w:t>
      </w:r>
    </w:p>
    <w:p w14:paraId="722253AE" w14:textId="77777777" w:rsidR="008E22B5" w:rsidRDefault="008E22B5" w:rsidP="008B2EE6">
      <w:pPr>
        <w:pStyle w:val="Piedepgina"/>
        <w:tabs>
          <w:tab w:val="right" w:pos="8789"/>
        </w:tabs>
        <w:jc w:val="both"/>
        <w:rPr>
          <w:rFonts w:ascii="Verdana" w:hAnsi="Verdana" w:cs="Arial"/>
          <w:sz w:val="24"/>
          <w:szCs w:val="24"/>
          <w:lang w:val="es-ES"/>
        </w:rPr>
      </w:pPr>
    </w:p>
    <w:p w14:paraId="0F0B721E" w14:textId="11DEE97B" w:rsidR="00B33223" w:rsidRDefault="00E625CB" w:rsidP="008B2EE6">
      <w:pPr>
        <w:pStyle w:val="Piedepgina"/>
        <w:tabs>
          <w:tab w:val="right" w:pos="8789"/>
        </w:tabs>
        <w:jc w:val="both"/>
        <w:rPr>
          <w:rFonts w:ascii="Verdana" w:hAnsi="Verdana" w:cs="Arial"/>
          <w:sz w:val="24"/>
          <w:szCs w:val="24"/>
          <w:lang w:val="es-ES"/>
        </w:rPr>
      </w:pPr>
      <w:r>
        <w:rPr>
          <w:rFonts w:ascii="Verdana" w:hAnsi="Verdana" w:cs="Arial"/>
          <w:sz w:val="24"/>
          <w:szCs w:val="24"/>
          <w:lang w:val="es-ES"/>
        </w:rPr>
        <w:t xml:space="preserve">De tal manera, </w:t>
      </w:r>
      <w:r w:rsidR="000F5331">
        <w:rPr>
          <w:rFonts w:ascii="Verdana" w:hAnsi="Verdana" w:cs="Arial"/>
          <w:sz w:val="24"/>
          <w:szCs w:val="24"/>
          <w:lang w:val="es-ES"/>
        </w:rPr>
        <w:t xml:space="preserve">estas modificaciones buscan evitar que el régimen de grandes exposiciones afecte el cumplimiento </w:t>
      </w:r>
      <w:r w:rsidR="008E0BF6">
        <w:rPr>
          <w:rFonts w:ascii="Verdana" w:hAnsi="Verdana" w:cs="Arial"/>
          <w:sz w:val="24"/>
          <w:szCs w:val="24"/>
          <w:lang w:val="es-ES"/>
        </w:rPr>
        <w:t xml:space="preserve">del objeto social del Fondo Nacional de Garantías (FNG) y </w:t>
      </w:r>
      <w:r w:rsidR="00DA64F0">
        <w:rPr>
          <w:rFonts w:ascii="Verdana" w:hAnsi="Verdana" w:cs="Arial"/>
          <w:sz w:val="24"/>
          <w:szCs w:val="24"/>
          <w:lang w:val="es-ES"/>
        </w:rPr>
        <w:t>d</w:t>
      </w:r>
      <w:r w:rsidR="008E0BF6">
        <w:rPr>
          <w:rFonts w:ascii="Verdana" w:hAnsi="Verdana" w:cs="Arial"/>
          <w:sz w:val="24"/>
          <w:szCs w:val="24"/>
          <w:lang w:val="es-ES"/>
        </w:rPr>
        <w:t>el Fondo Agropecuario de Garantías (FAG)</w:t>
      </w:r>
      <w:r w:rsidR="00DA64F0">
        <w:rPr>
          <w:rFonts w:ascii="Verdana" w:hAnsi="Verdana" w:cs="Arial"/>
          <w:sz w:val="24"/>
          <w:szCs w:val="24"/>
          <w:lang w:val="es-ES"/>
        </w:rPr>
        <w:t>, así como el</w:t>
      </w:r>
      <w:r w:rsidR="00E64C83">
        <w:rPr>
          <w:rFonts w:ascii="Verdana" w:hAnsi="Verdana" w:cs="Arial"/>
          <w:sz w:val="24"/>
          <w:szCs w:val="24"/>
          <w:lang w:val="es-ES"/>
        </w:rPr>
        <w:t xml:space="preserve"> flujo de financiamiento a los entes territoriales</w:t>
      </w:r>
      <w:r w:rsidR="00BE7949">
        <w:rPr>
          <w:rFonts w:ascii="Verdana" w:hAnsi="Verdana" w:cs="Arial"/>
          <w:sz w:val="24"/>
          <w:szCs w:val="24"/>
          <w:lang w:val="es-ES"/>
        </w:rPr>
        <w:t xml:space="preserve">. Igualmente, el Decreto </w:t>
      </w:r>
      <w:r w:rsidR="00BE7949" w:rsidRPr="00232EE0">
        <w:rPr>
          <w:rFonts w:ascii="Verdana" w:hAnsi="Verdana" w:cs="Arial"/>
          <w:sz w:val="24"/>
          <w:szCs w:val="24"/>
          <w:lang w:val="es-ES"/>
        </w:rPr>
        <w:t>0573 de 2025</w:t>
      </w:r>
      <w:r w:rsidR="005869C7">
        <w:rPr>
          <w:rFonts w:ascii="Verdana" w:hAnsi="Verdana" w:cs="Arial"/>
          <w:sz w:val="24"/>
          <w:szCs w:val="24"/>
          <w:lang w:val="es-ES"/>
        </w:rPr>
        <w:t xml:space="preserve"> promueve la compatibilidad del régimen de grandes exposiciones </w:t>
      </w:r>
      <w:r w:rsidR="00284B40">
        <w:rPr>
          <w:rFonts w:ascii="Verdana" w:hAnsi="Verdana" w:cs="Arial"/>
          <w:sz w:val="24"/>
          <w:szCs w:val="24"/>
          <w:lang w:val="es-ES"/>
        </w:rPr>
        <w:t xml:space="preserve">con el marco normativo de los </w:t>
      </w:r>
      <w:r w:rsidR="008E22B5">
        <w:rPr>
          <w:rFonts w:ascii="Verdana" w:hAnsi="Verdana" w:cs="Arial"/>
          <w:sz w:val="24"/>
          <w:szCs w:val="24"/>
          <w:lang w:val="es-ES"/>
        </w:rPr>
        <w:t>conglomerados</w:t>
      </w:r>
      <w:r w:rsidR="00284B40">
        <w:rPr>
          <w:rFonts w:ascii="Verdana" w:hAnsi="Verdana" w:cs="Arial"/>
          <w:sz w:val="24"/>
          <w:szCs w:val="24"/>
          <w:lang w:val="es-ES"/>
        </w:rPr>
        <w:t xml:space="preserve"> financieros, previsto en la Ley </w:t>
      </w:r>
      <w:r w:rsidR="002A5544" w:rsidRPr="002A5544">
        <w:rPr>
          <w:rFonts w:ascii="Verdana" w:hAnsi="Verdana" w:cs="Arial"/>
          <w:sz w:val="24"/>
          <w:szCs w:val="24"/>
          <w:lang w:val="es-ES"/>
        </w:rPr>
        <w:t>1870 de 2017</w:t>
      </w:r>
      <w:r w:rsidR="002A5544">
        <w:rPr>
          <w:rFonts w:ascii="Verdana" w:hAnsi="Verdana" w:cs="Arial"/>
          <w:sz w:val="24"/>
          <w:szCs w:val="24"/>
          <w:lang w:val="es-ES"/>
        </w:rPr>
        <w:t>.</w:t>
      </w:r>
      <w:r w:rsidR="008E22B5">
        <w:rPr>
          <w:rFonts w:ascii="Verdana" w:hAnsi="Verdana" w:cs="Arial"/>
          <w:sz w:val="24"/>
          <w:szCs w:val="24"/>
          <w:lang w:val="es-ES"/>
        </w:rPr>
        <w:t xml:space="preserve"> Por lo tanto, la SFC considera necesario modificar el Capítulo XIII-</w:t>
      </w:r>
      <w:r w:rsidR="00A714B1">
        <w:rPr>
          <w:rFonts w:ascii="Verdana" w:hAnsi="Verdana" w:cs="Arial"/>
          <w:sz w:val="24"/>
          <w:szCs w:val="24"/>
          <w:lang w:val="es-ES"/>
        </w:rPr>
        <w:t xml:space="preserve">18 de la CBCF, de acuerdo con las actualizaciones </w:t>
      </w:r>
      <w:r w:rsidR="007A7834">
        <w:rPr>
          <w:rFonts w:ascii="Verdana" w:hAnsi="Verdana" w:cs="Arial"/>
          <w:sz w:val="24"/>
          <w:szCs w:val="24"/>
          <w:lang w:val="es-ES"/>
        </w:rPr>
        <w:t xml:space="preserve">normativas </w:t>
      </w:r>
      <w:r w:rsidR="00A714B1">
        <w:rPr>
          <w:rFonts w:ascii="Verdana" w:hAnsi="Verdana" w:cs="Arial"/>
          <w:sz w:val="24"/>
          <w:szCs w:val="24"/>
          <w:lang w:val="es-ES"/>
        </w:rPr>
        <w:t xml:space="preserve">ya mencionadas. </w:t>
      </w:r>
    </w:p>
    <w:p w14:paraId="7440250C" w14:textId="77777777" w:rsidR="004913AA" w:rsidRDefault="004913AA" w:rsidP="008B2EE6">
      <w:pPr>
        <w:pStyle w:val="Piedepgina"/>
        <w:tabs>
          <w:tab w:val="right" w:pos="8789"/>
        </w:tabs>
        <w:jc w:val="both"/>
        <w:rPr>
          <w:rFonts w:ascii="Verdana" w:hAnsi="Verdana" w:cs="Arial"/>
          <w:sz w:val="24"/>
          <w:szCs w:val="24"/>
          <w:lang w:val="es-ES"/>
        </w:rPr>
      </w:pPr>
    </w:p>
    <w:p w14:paraId="142813B2" w14:textId="0ED73098" w:rsidR="008B2EE6" w:rsidRPr="008B2EE6" w:rsidRDefault="008B2EE6" w:rsidP="008B2EE6">
      <w:pPr>
        <w:pStyle w:val="Piedepgina"/>
        <w:tabs>
          <w:tab w:val="right" w:pos="8789"/>
        </w:tabs>
        <w:jc w:val="both"/>
        <w:rPr>
          <w:rFonts w:ascii="Verdana" w:hAnsi="Verdana" w:cs="Arial"/>
          <w:sz w:val="24"/>
          <w:szCs w:val="24"/>
          <w:lang w:val="es-ES"/>
        </w:rPr>
      </w:pPr>
      <w:r w:rsidRPr="008B2EE6">
        <w:rPr>
          <w:rFonts w:ascii="Verdana" w:hAnsi="Verdana" w:cs="Arial"/>
          <w:sz w:val="24"/>
          <w:szCs w:val="24"/>
          <w:lang w:val="es-ES"/>
        </w:rPr>
        <w:t xml:space="preserve">En virtud de lo expuesto, en ejercicio de las facultades previstas en el numeral </w:t>
      </w:r>
      <w:r w:rsidR="00E655E5">
        <w:rPr>
          <w:rFonts w:ascii="Verdana" w:hAnsi="Verdana" w:cs="Arial"/>
          <w:sz w:val="24"/>
          <w:szCs w:val="24"/>
          <w:lang w:val="es-ES"/>
        </w:rPr>
        <w:t>5 del artículo 97</w:t>
      </w:r>
      <w:r w:rsidR="009F3C2A">
        <w:rPr>
          <w:rFonts w:ascii="Verdana" w:hAnsi="Verdana" w:cs="Arial"/>
          <w:sz w:val="24"/>
          <w:szCs w:val="24"/>
          <w:lang w:val="es-ES"/>
        </w:rPr>
        <w:t xml:space="preserve"> y el literal (a) del numeral </w:t>
      </w:r>
      <w:r w:rsidRPr="008B2EE6">
        <w:rPr>
          <w:rFonts w:ascii="Verdana" w:hAnsi="Verdana" w:cs="Arial"/>
          <w:sz w:val="24"/>
          <w:szCs w:val="24"/>
          <w:lang w:val="es-ES"/>
        </w:rPr>
        <w:t xml:space="preserve">3 del artículo 326 del Estatuto Orgánico del Sistema Financiero, así como en </w:t>
      </w:r>
      <w:r w:rsidR="002A09D2">
        <w:rPr>
          <w:rFonts w:ascii="Verdana" w:hAnsi="Verdana" w:cs="Arial"/>
          <w:sz w:val="24"/>
          <w:szCs w:val="24"/>
          <w:lang w:val="es-ES"/>
        </w:rPr>
        <w:t xml:space="preserve">los </w:t>
      </w:r>
      <w:r w:rsidRPr="008B2EE6">
        <w:rPr>
          <w:rFonts w:ascii="Verdana" w:hAnsi="Verdana" w:cs="Arial"/>
          <w:sz w:val="24"/>
          <w:szCs w:val="24"/>
          <w:lang w:val="es-ES"/>
        </w:rPr>
        <w:t>numeral</w:t>
      </w:r>
      <w:r w:rsidR="002A09D2">
        <w:rPr>
          <w:rFonts w:ascii="Verdana" w:hAnsi="Verdana" w:cs="Arial"/>
          <w:sz w:val="24"/>
          <w:szCs w:val="24"/>
          <w:lang w:val="es-ES"/>
        </w:rPr>
        <w:t>es 4 y</w:t>
      </w:r>
      <w:r w:rsidRPr="008B2EE6">
        <w:rPr>
          <w:rFonts w:ascii="Verdana" w:hAnsi="Verdana" w:cs="Arial"/>
          <w:sz w:val="24"/>
          <w:szCs w:val="24"/>
          <w:lang w:val="es-ES"/>
        </w:rPr>
        <w:t xml:space="preserve"> 5 del artículo 11.2.1.4.2. del Decreto 2555 de 2010,</w:t>
      </w:r>
      <w:r w:rsidR="00CA27FB">
        <w:rPr>
          <w:rFonts w:ascii="Verdana" w:hAnsi="Verdana" w:cs="Arial"/>
          <w:sz w:val="24"/>
          <w:szCs w:val="24"/>
          <w:lang w:val="es-ES"/>
        </w:rPr>
        <w:t xml:space="preserve"> </w:t>
      </w:r>
      <w:r w:rsidR="002A09D2">
        <w:rPr>
          <w:rFonts w:ascii="Verdana" w:hAnsi="Verdana" w:cs="Arial"/>
          <w:sz w:val="24"/>
          <w:szCs w:val="24"/>
          <w:lang w:val="es-ES"/>
        </w:rPr>
        <w:t xml:space="preserve">y teniendo en cuenta las facultades especiales previstas en el Decreto </w:t>
      </w:r>
      <w:r w:rsidR="008068AF">
        <w:rPr>
          <w:rFonts w:ascii="Verdana" w:hAnsi="Verdana" w:cs="Arial"/>
          <w:sz w:val="24"/>
          <w:szCs w:val="24"/>
          <w:lang w:val="es-ES"/>
        </w:rPr>
        <w:t xml:space="preserve">1477 de 2018, el Decreto 1533 de 2022 y el Decreto 0573 de 2025, </w:t>
      </w:r>
      <w:r w:rsidR="00CA27FB">
        <w:rPr>
          <w:rFonts w:ascii="Verdana" w:hAnsi="Verdana" w:cs="Arial"/>
          <w:sz w:val="24"/>
          <w:szCs w:val="24"/>
          <w:lang w:val="es-ES"/>
        </w:rPr>
        <w:t>esta Superintendencia</w:t>
      </w:r>
      <w:r w:rsidRPr="008B2EE6">
        <w:rPr>
          <w:rFonts w:ascii="Verdana" w:hAnsi="Verdana" w:cs="Arial"/>
          <w:sz w:val="24"/>
          <w:szCs w:val="24"/>
          <w:lang w:val="es-ES"/>
        </w:rPr>
        <w:t xml:space="preserve"> imparte las siguientes instrucciones:</w:t>
      </w:r>
    </w:p>
    <w:p w14:paraId="60883E4C" w14:textId="77777777" w:rsidR="008B2EE6" w:rsidRPr="008B2EE6" w:rsidRDefault="008B2EE6" w:rsidP="008B2EE6">
      <w:pPr>
        <w:jc w:val="both"/>
        <w:rPr>
          <w:rFonts w:ascii="Verdana" w:hAnsi="Verdana" w:cs="Arial"/>
          <w:sz w:val="24"/>
          <w:szCs w:val="24"/>
          <w:lang w:val="es-CO"/>
        </w:rPr>
      </w:pPr>
    </w:p>
    <w:p w14:paraId="429910EA" w14:textId="6EFFB3D0" w:rsidR="00DD78DF" w:rsidRPr="00EC542C" w:rsidRDefault="008B2EE6" w:rsidP="00DD78DF">
      <w:pPr>
        <w:widowControl w:val="0"/>
        <w:autoSpaceDE w:val="0"/>
        <w:autoSpaceDN w:val="0"/>
        <w:adjustRightInd w:val="0"/>
        <w:jc w:val="both"/>
        <w:rPr>
          <w:rFonts w:ascii="Verdana" w:hAnsi="Verdana" w:cs="Arial"/>
          <w:b/>
          <w:bCs/>
          <w:sz w:val="24"/>
          <w:szCs w:val="24"/>
          <w:lang w:val="es-ES"/>
        </w:rPr>
      </w:pPr>
      <w:r w:rsidRPr="008B2EE6">
        <w:rPr>
          <w:rFonts w:ascii="Verdana" w:hAnsi="Verdana" w:cs="Arial"/>
          <w:b/>
          <w:bCs/>
          <w:sz w:val="24"/>
          <w:szCs w:val="24"/>
        </w:rPr>
        <w:t xml:space="preserve">PRIMERA: </w:t>
      </w:r>
      <w:r w:rsidR="00DD78DF">
        <w:rPr>
          <w:rFonts w:ascii="Verdana" w:hAnsi="Verdana" w:cs="Arial"/>
          <w:bCs/>
          <w:sz w:val="24"/>
          <w:szCs w:val="24"/>
        </w:rPr>
        <w:t>Adicionar los numerales 2.1.3. y 3.1.4. y modificar l</w:t>
      </w:r>
      <w:r w:rsidR="000545A8">
        <w:rPr>
          <w:rFonts w:ascii="Verdana" w:hAnsi="Verdana" w:cs="Arial"/>
          <w:bCs/>
          <w:sz w:val="24"/>
          <w:szCs w:val="24"/>
        </w:rPr>
        <w:t>os</w:t>
      </w:r>
      <w:r w:rsidR="00DD78DF">
        <w:rPr>
          <w:rFonts w:ascii="Verdana" w:hAnsi="Verdana" w:cs="Arial"/>
          <w:bCs/>
          <w:sz w:val="24"/>
          <w:szCs w:val="24"/>
        </w:rPr>
        <w:t xml:space="preserve"> numeral</w:t>
      </w:r>
      <w:r w:rsidR="000545A8">
        <w:rPr>
          <w:rFonts w:ascii="Verdana" w:hAnsi="Verdana" w:cs="Arial"/>
          <w:bCs/>
          <w:sz w:val="24"/>
          <w:szCs w:val="24"/>
        </w:rPr>
        <w:t>es</w:t>
      </w:r>
      <w:r w:rsidR="00DD78DF">
        <w:rPr>
          <w:rFonts w:ascii="Verdana" w:hAnsi="Verdana" w:cs="Arial"/>
          <w:bCs/>
          <w:sz w:val="24"/>
          <w:szCs w:val="24"/>
        </w:rPr>
        <w:t xml:space="preserve"> 3.1.2. </w:t>
      </w:r>
      <w:r w:rsidR="000545A8">
        <w:rPr>
          <w:rFonts w:ascii="Verdana" w:hAnsi="Verdana" w:cs="Arial"/>
          <w:bCs/>
          <w:sz w:val="24"/>
          <w:szCs w:val="24"/>
        </w:rPr>
        <w:t xml:space="preserve">y </w:t>
      </w:r>
      <w:r w:rsidR="000A7CC4">
        <w:rPr>
          <w:rFonts w:ascii="Verdana" w:hAnsi="Verdana" w:cs="Arial"/>
          <w:bCs/>
          <w:sz w:val="24"/>
          <w:szCs w:val="24"/>
        </w:rPr>
        <w:t xml:space="preserve">1.1. </w:t>
      </w:r>
      <w:r w:rsidR="00DD78DF">
        <w:rPr>
          <w:rFonts w:ascii="Verdana" w:hAnsi="Verdana" w:cs="Arial"/>
          <w:bCs/>
          <w:sz w:val="24"/>
          <w:szCs w:val="24"/>
        </w:rPr>
        <w:t>de</w:t>
      </w:r>
      <w:r w:rsidR="001B14E8">
        <w:rPr>
          <w:rFonts w:ascii="Verdana" w:hAnsi="Verdana" w:cs="Arial"/>
          <w:bCs/>
          <w:sz w:val="24"/>
          <w:szCs w:val="24"/>
        </w:rPr>
        <w:t xml:space="preserve"> </w:t>
      </w:r>
      <w:r w:rsidR="00DD78DF">
        <w:rPr>
          <w:rFonts w:ascii="Verdana" w:hAnsi="Verdana" w:cs="Arial"/>
          <w:bCs/>
          <w:sz w:val="24"/>
          <w:szCs w:val="24"/>
        </w:rPr>
        <w:t>l</w:t>
      </w:r>
      <w:r w:rsidR="001B14E8">
        <w:rPr>
          <w:rFonts w:ascii="Verdana" w:hAnsi="Verdana" w:cs="Arial"/>
          <w:bCs/>
          <w:sz w:val="24"/>
          <w:szCs w:val="24"/>
        </w:rPr>
        <w:t>a Sección 2 del</w:t>
      </w:r>
      <w:r w:rsidR="00DD78DF">
        <w:rPr>
          <w:rFonts w:ascii="Verdana" w:hAnsi="Verdana" w:cs="Arial"/>
          <w:bCs/>
          <w:sz w:val="24"/>
          <w:szCs w:val="24"/>
        </w:rPr>
        <w:t xml:space="preserve"> Capítulo XIII-18 </w:t>
      </w:r>
      <w:r w:rsidR="00DD78DF" w:rsidRPr="008B2EE6">
        <w:rPr>
          <w:rFonts w:ascii="Verdana" w:hAnsi="Verdana" w:cs="Arial"/>
          <w:bCs/>
          <w:sz w:val="24"/>
          <w:szCs w:val="24"/>
        </w:rPr>
        <w:t>«</w:t>
      </w:r>
      <w:r w:rsidR="00F20EA6" w:rsidRPr="0045462B">
        <w:rPr>
          <w:rFonts w:ascii="Verdana" w:hAnsi="Verdana" w:cs="Arial"/>
          <w:bCs/>
          <w:i/>
          <w:iCs/>
          <w:sz w:val="24"/>
          <w:szCs w:val="24"/>
        </w:rPr>
        <w:t>Normas para la identificación y gestión de las grandes exposiciones y concentración de riesgos de los establecimientos de crédito, y de los cupos individuales de crédito de las demás entidades vigiladas</w:t>
      </w:r>
      <w:r w:rsidR="00DD78DF" w:rsidRPr="0045462B">
        <w:rPr>
          <w:rFonts w:ascii="Verdana" w:hAnsi="Verdana" w:cs="Arial"/>
          <w:bCs/>
          <w:i/>
          <w:iCs/>
          <w:sz w:val="24"/>
          <w:szCs w:val="24"/>
        </w:rPr>
        <w:t>»</w:t>
      </w:r>
      <w:r w:rsidR="00DD78DF">
        <w:rPr>
          <w:rFonts w:ascii="Verdana" w:hAnsi="Verdana" w:cs="Arial"/>
          <w:bCs/>
          <w:sz w:val="24"/>
          <w:szCs w:val="24"/>
        </w:rPr>
        <w:t xml:space="preserve"> de la CBCF, con el fin de realizar los ajustes previstos en </w:t>
      </w:r>
      <w:r w:rsidR="001B14E8">
        <w:rPr>
          <w:rFonts w:ascii="Verdana" w:hAnsi="Verdana" w:cs="Arial"/>
          <w:bCs/>
          <w:sz w:val="24"/>
          <w:szCs w:val="24"/>
        </w:rPr>
        <w:t>los</w:t>
      </w:r>
      <w:r w:rsidR="00DD78DF">
        <w:rPr>
          <w:rFonts w:ascii="Verdana" w:hAnsi="Verdana" w:cs="Arial"/>
          <w:bCs/>
          <w:sz w:val="24"/>
          <w:szCs w:val="24"/>
        </w:rPr>
        <w:t xml:space="preserve"> </w:t>
      </w:r>
      <w:r w:rsidR="00DD78DF">
        <w:rPr>
          <w:rFonts w:ascii="Verdana" w:hAnsi="Verdana" w:cs="Arial"/>
          <w:sz w:val="24"/>
          <w:szCs w:val="24"/>
          <w:lang w:val="es-ES"/>
        </w:rPr>
        <w:t>Decreto</w:t>
      </w:r>
      <w:r w:rsidR="001B14E8">
        <w:rPr>
          <w:rFonts w:ascii="Verdana" w:hAnsi="Verdana" w:cs="Arial"/>
          <w:sz w:val="24"/>
          <w:szCs w:val="24"/>
          <w:lang w:val="es-ES"/>
        </w:rPr>
        <w:t>s</w:t>
      </w:r>
      <w:r w:rsidR="00305D75">
        <w:rPr>
          <w:rFonts w:ascii="Verdana" w:hAnsi="Verdana" w:cs="Arial"/>
          <w:sz w:val="24"/>
          <w:szCs w:val="24"/>
          <w:lang w:val="es-ES"/>
        </w:rPr>
        <w:t xml:space="preserve"> </w:t>
      </w:r>
      <w:r w:rsidR="0032315B">
        <w:rPr>
          <w:rFonts w:ascii="Verdana" w:hAnsi="Verdana" w:cs="Arial"/>
          <w:sz w:val="24"/>
          <w:szCs w:val="24"/>
          <w:lang w:val="es-ES"/>
        </w:rPr>
        <w:t>1358 de 2024 y</w:t>
      </w:r>
      <w:r w:rsidR="00DD78DF">
        <w:rPr>
          <w:rFonts w:ascii="Verdana" w:hAnsi="Verdana" w:cs="Arial"/>
          <w:sz w:val="24"/>
          <w:szCs w:val="24"/>
          <w:lang w:val="es-ES"/>
        </w:rPr>
        <w:t xml:space="preserve"> 0573 de 2025.</w:t>
      </w:r>
    </w:p>
    <w:p w14:paraId="7FC4461F" w14:textId="052ACB8F" w:rsidR="002758C1" w:rsidRPr="00DD78DF" w:rsidRDefault="002758C1" w:rsidP="002758C1">
      <w:pPr>
        <w:autoSpaceDE w:val="0"/>
        <w:autoSpaceDN w:val="0"/>
        <w:adjustRightInd w:val="0"/>
        <w:jc w:val="both"/>
        <w:rPr>
          <w:rFonts w:ascii="Verdana" w:hAnsi="Verdana" w:cs="Arial"/>
          <w:bCs/>
          <w:sz w:val="24"/>
          <w:szCs w:val="24"/>
          <w:lang w:val="es-ES"/>
        </w:rPr>
      </w:pPr>
    </w:p>
    <w:p w14:paraId="73DE4EF6" w14:textId="4D2242FC" w:rsidR="0099626C" w:rsidRDefault="002758C1" w:rsidP="007B7933">
      <w:pPr>
        <w:jc w:val="both"/>
        <w:rPr>
          <w:rFonts w:ascii="Verdana" w:hAnsi="Verdana" w:cs="Arial"/>
          <w:bCs/>
          <w:sz w:val="24"/>
          <w:szCs w:val="24"/>
        </w:rPr>
      </w:pPr>
      <w:r>
        <w:rPr>
          <w:rFonts w:ascii="Verdana" w:hAnsi="Verdana" w:cs="Arial"/>
          <w:b/>
          <w:bCs/>
          <w:sz w:val="24"/>
          <w:szCs w:val="24"/>
        </w:rPr>
        <w:t>SEGUNDA</w:t>
      </w:r>
      <w:r w:rsidR="0099626C" w:rsidRPr="0032315B">
        <w:rPr>
          <w:rFonts w:ascii="Verdana" w:hAnsi="Verdana" w:cs="Arial"/>
          <w:sz w:val="24"/>
          <w:szCs w:val="24"/>
        </w:rPr>
        <w:t>:</w:t>
      </w:r>
      <w:r w:rsidR="009A1CFB" w:rsidRPr="0032315B">
        <w:rPr>
          <w:rFonts w:ascii="Verdana" w:hAnsi="Verdana" w:cs="Arial"/>
          <w:sz w:val="24"/>
          <w:szCs w:val="24"/>
        </w:rPr>
        <w:t xml:space="preserve"> </w:t>
      </w:r>
      <w:r w:rsidR="009A1CFB" w:rsidRPr="009A1CFB">
        <w:rPr>
          <w:rFonts w:ascii="Verdana" w:hAnsi="Verdana" w:cs="Arial"/>
          <w:bCs/>
          <w:sz w:val="24"/>
          <w:szCs w:val="24"/>
        </w:rPr>
        <w:t>Modificar</w:t>
      </w:r>
      <w:r w:rsidR="009A1CFB">
        <w:rPr>
          <w:rFonts w:ascii="Verdana" w:hAnsi="Verdana" w:cs="Arial"/>
          <w:bCs/>
          <w:sz w:val="24"/>
          <w:szCs w:val="24"/>
        </w:rPr>
        <w:t xml:space="preserve"> el numeral </w:t>
      </w:r>
      <w:r w:rsidR="00F1067C">
        <w:rPr>
          <w:rFonts w:ascii="Verdana" w:hAnsi="Verdana" w:cs="Arial"/>
          <w:bCs/>
          <w:sz w:val="24"/>
          <w:szCs w:val="24"/>
        </w:rPr>
        <w:t xml:space="preserve">2.4.10 del Capítulo XIII-16 </w:t>
      </w:r>
      <w:r w:rsidR="00062ACE" w:rsidRPr="008B2EE6">
        <w:rPr>
          <w:rFonts w:ascii="Verdana" w:hAnsi="Verdana" w:cs="Arial"/>
          <w:bCs/>
          <w:sz w:val="24"/>
          <w:szCs w:val="24"/>
        </w:rPr>
        <w:t>«</w:t>
      </w:r>
      <w:r w:rsidR="00E470DD" w:rsidRPr="007B7933">
        <w:rPr>
          <w:rFonts w:ascii="Verdana" w:hAnsi="Verdana" w:cs="Arial"/>
          <w:bCs/>
          <w:i/>
          <w:iCs/>
          <w:sz w:val="24"/>
          <w:szCs w:val="24"/>
        </w:rPr>
        <w:t>Margen</w:t>
      </w:r>
      <w:r w:rsidR="00062ACE" w:rsidRPr="007B7933">
        <w:rPr>
          <w:rFonts w:ascii="Verdana" w:hAnsi="Verdana" w:cs="Arial"/>
          <w:bCs/>
          <w:i/>
          <w:iCs/>
          <w:sz w:val="24"/>
          <w:szCs w:val="24"/>
        </w:rPr>
        <w:t xml:space="preserve"> de solvencia y otros requerimientos de patrimonio</w:t>
      </w:r>
      <w:r w:rsidR="00E470DD" w:rsidRPr="007B7933">
        <w:rPr>
          <w:rFonts w:ascii="Verdana" w:hAnsi="Verdana" w:cs="Arial"/>
          <w:bCs/>
          <w:i/>
          <w:iCs/>
          <w:sz w:val="24"/>
          <w:szCs w:val="24"/>
        </w:rPr>
        <w:t>»</w:t>
      </w:r>
      <w:r w:rsidR="00E470DD">
        <w:rPr>
          <w:rFonts w:ascii="Verdana" w:hAnsi="Verdana" w:cs="Arial"/>
          <w:bCs/>
          <w:sz w:val="24"/>
          <w:szCs w:val="24"/>
        </w:rPr>
        <w:t xml:space="preserve"> </w:t>
      </w:r>
      <w:r w:rsidR="00F1067C">
        <w:rPr>
          <w:rFonts w:ascii="Verdana" w:hAnsi="Verdana" w:cs="Arial"/>
          <w:bCs/>
          <w:sz w:val="24"/>
          <w:szCs w:val="24"/>
        </w:rPr>
        <w:t>de la CBCF</w:t>
      </w:r>
      <w:r w:rsidR="00E470DD">
        <w:rPr>
          <w:rFonts w:ascii="Verdana" w:hAnsi="Verdana" w:cs="Arial"/>
          <w:bCs/>
          <w:sz w:val="24"/>
          <w:szCs w:val="24"/>
        </w:rPr>
        <w:t xml:space="preserve">, con el fin de </w:t>
      </w:r>
      <w:r w:rsidR="0093488A">
        <w:rPr>
          <w:rFonts w:ascii="Verdana" w:hAnsi="Verdana" w:cs="Arial"/>
          <w:bCs/>
          <w:sz w:val="24"/>
          <w:szCs w:val="24"/>
        </w:rPr>
        <w:t>incluir los nuevos requisitos prudenciales de ponderación de los créditos</w:t>
      </w:r>
      <w:r w:rsidR="00300CAC" w:rsidRPr="00300CAC">
        <w:rPr>
          <w:rFonts w:ascii="Verdana" w:hAnsi="Verdana" w:cs="Arial"/>
          <w:bCs/>
          <w:sz w:val="24"/>
          <w:szCs w:val="24"/>
        </w:rPr>
        <w:t xml:space="preserve"> de la libranza o descuento directo</w:t>
      </w:r>
      <w:r w:rsidR="00727A8A">
        <w:rPr>
          <w:rFonts w:ascii="Verdana" w:hAnsi="Verdana" w:cs="Arial"/>
          <w:bCs/>
          <w:sz w:val="24"/>
          <w:szCs w:val="24"/>
        </w:rPr>
        <w:t xml:space="preserve"> en los términos del Decreto 0573 de 2025</w:t>
      </w:r>
      <w:r w:rsidR="007B7933">
        <w:rPr>
          <w:rFonts w:ascii="Verdana" w:hAnsi="Verdana" w:cs="Arial"/>
          <w:bCs/>
          <w:sz w:val="24"/>
          <w:szCs w:val="24"/>
        </w:rPr>
        <w:t>.</w:t>
      </w:r>
    </w:p>
    <w:p w14:paraId="5521563D" w14:textId="77777777" w:rsidR="00B45A7E" w:rsidRDefault="00B45A7E" w:rsidP="007B7933">
      <w:pPr>
        <w:jc w:val="both"/>
        <w:rPr>
          <w:rFonts w:ascii="Verdana" w:hAnsi="Verdana" w:cs="Arial"/>
          <w:bCs/>
          <w:sz w:val="24"/>
          <w:szCs w:val="24"/>
        </w:rPr>
      </w:pPr>
    </w:p>
    <w:p w14:paraId="7708A681" w14:textId="2713033B" w:rsidR="00506FC2" w:rsidRDefault="00B45A7E" w:rsidP="007B7933">
      <w:pPr>
        <w:jc w:val="both"/>
        <w:rPr>
          <w:rFonts w:ascii="Verdana" w:hAnsi="Verdana" w:cs="Arial"/>
          <w:bCs/>
          <w:sz w:val="24"/>
          <w:szCs w:val="24"/>
        </w:rPr>
      </w:pPr>
      <w:r w:rsidRPr="00B45A7E">
        <w:rPr>
          <w:rFonts w:ascii="Verdana" w:hAnsi="Verdana" w:cs="Arial"/>
          <w:b/>
          <w:bCs/>
          <w:sz w:val="24"/>
          <w:szCs w:val="24"/>
        </w:rPr>
        <w:t>TERCERA</w:t>
      </w:r>
      <w:r>
        <w:rPr>
          <w:rFonts w:ascii="Verdana" w:hAnsi="Verdana" w:cs="Arial"/>
          <w:bCs/>
          <w:sz w:val="24"/>
          <w:szCs w:val="24"/>
        </w:rPr>
        <w:t xml:space="preserve">: </w:t>
      </w:r>
      <w:r w:rsidR="00FE7426">
        <w:rPr>
          <w:rFonts w:ascii="Verdana" w:hAnsi="Verdana" w:cs="Arial"/>
          <w:bCs/>
          <w:sz w:val="24"/>
          <w:szCs w:val="24"/>
        </w:rPr>
        <w:t xml:space="preserve">Para el caso de las entidades </w:t>
      </w:r>
      <w:r w:rsidR="00A4749B" w:rsidRPr="00E60C1D">
        <w:rPr>
          <w:rFonts w:ascii="Verdana" w:hAnsi="Verdana" w:cs="Arial"/>
          <w:bCs/>
          <w:sz w:val="24"/>
          <w:szCs w:val="24"/>
        </w:rPr>
        <w:t xml:space="preserve">regímenes especiales que desarrollan operaciones propias de los establecimientos de crédito comprendidas en la Parte Décima del Decreto número 663 de 1993 y las Instituciones Oficiales Especiales que estén definidas en su acto de creación como un establecimiento de crédito puedan optar por un plazo de hasta sesenta (60) meses adicionales al periodo de transición definida en el artículo 5 del Decreto 1533 de 2022. Las entidades que opten por acogerse a este plazo adicional deben remitir a la SFC un informe </w:t>
      </w:r>
      <w:r w:rsidR="00A4749B" w:rsidRPr="00E60C1D">
        <w:rPr>
          <w:rFonts w:ascii="Verdana" w:hAnsi="Verdana" w:cs="Arial"/>
          <w:bCs/>
          <w:sz w:val="24"/>
          <w:szCs w:val="24"/>
        </w:rPr>
        <w:lastRenderedPageBreak/>
        <w:t>aprobado por su junta directiva, en el que se detallen las razones técnicas que viabilicen la necesidad de acogerse a este plazo, junto con el plan de acción para adaptar su operación al marco normativo definido en el decreto.</w:t>
      </w:r>
    </w:p>
    <w:p w14:paraId="75D5A8B5" w14:textId="77777777" w:rsidR="00506FC2" w:rsidRDefault="00506FC2" w:rsidP="007B7933">
      <w:pPr>
        <w:jc w:val="both"/>
        <w:rPr>
          <w:rFonts w:ascii="Verdana" w:hAnsi="Verdana" w:cs="Arial"/>
          <w:bCs/>
          <w:sz w:val="24"/>
          <w:szCs w:val="24"/>
        </w:rPr>
      </w:pPr>
    </w:p>
    <w:p w14:paraId="5365D4CE" w14:textId="3D31E26D" w:rsidR="00B45A7E" w:rsidRPr="009A1CFB" w:rsidRDefault="00506FC2" w:rsidP="007B7933">
      <w:pPr>
        <w:jc w:val="both"/>
        <w:rPr>
          <w:rFonts w:ascii="Verdana" w:hAnsi="Verdana" w:cs="Arial"/>
          <w:bCs/>
          <w:sz w:val="24"/>
          <w:szCs w:val="24"/>
        </w:rPr>
      </w:pPr>
      <w:r w:rsidRPr="00506FC2">
        <w:rPr>
          <w:rFonts w:ascii="Verdana" w:hAnsi="Verdana" w:cs="Arial"/>
          <w:b/>
          <w:sz w:val="24"/>
          <w:szCs w:val="24"/>
        </w:rPr>
        <w:t>CUARTA.</w:t>
      </w:r>
      <w:r>
        <w:rPr>
          <w:rFonts w:ascii="Verdana" w:hAnsi="Verdana" w:cs="Arial"/>
          <w:bCs/>
          <w:sz w:val="24"/>
          <w:szCs w:val="24"/>
        </w:rPr>
        <w:t xml:space="preserve"> </w:t>
      </w:r>
      <w:r w:rsidR="00B45A7E">
        <w:rPr>
          <w:rFonts w:ascii="Verdana" w:hAnsi="Verdana" w:cs="Arial"/>
          <w:bCs/>
          <w:sz w:val="24"/>
          <w:szCs w:val="24"/>
        </w:rPr>
        <w:t xml:space="preserve">Modificar </w:t>
      </w:r>
      <w:r w:rsidR="00A34E6C">
        <w:rPr>
          <w:rFonts w:ascii="Verdana" w:hAnsi="Verdana" w:cs="Arial"/>
          <w:bCs/>
          <w:sz w:val="24"/>
          <w:szCs w:val="24"/>
        </w:rPr>
        <w:t xml:space="preserve">la proforma </w:t>
      </w:r>
      <w:bookmarkStart w:id="1" w:name="_Hlk199517386"/>
      <w:r w:rsidR="00A45207">
        <w:rPr>
          <w:rFonts w:ascii="Verdana" w:hAnsi="Verdana" w:cs="Arial"/>
          <w:bCs/>
          <w:sz w:val="24"/>
          <w:szCs w:val="24"/>
        </w:rPr>
        <w:t>F</w:t>
      </w:r>
      <w:r w:rsidR="003B1C7E">
        <w:rPr>
          <w:rFonts w:ascii="Verdana" w:hAnsi="Verdana" w:cs="Arial"/>
          <w:bCs/>
          <w:sz w:val="24"/>
          <w:szCs w:val="24"/>
        </w:rPr>
        <w:t>.</w:t>
      </w:r>
      <w:r w:rsidR="00A45207">
        <w:rPr>
          <w:rFonts w:ascii="Verdana" w:hAnsi="Verdana" w:cs="Arial"/>
          <w:bCs/>
          <w:sz w:val="24"/>
          <w:szCs w:val="24"/>
        </w:rPr>
        <w:t xml:space="preserve">1000 – 141 </w:t>
      </w:r>
      <w:r w:rsidR="003B1C7E">
        <w:rPr>
          <w:rFonts w:ascii="Verdana" w:hAnsi="Verdana" w:cs="Arial"/>
          <w:bCs/>
          <w:sz w:val="24"/>
          <w:szCs w:val="24"/>
        </w:rPr>
        <w:t xml:space="preserve">(Formato 239 </w:t>
      </w:r>
      <w:r w:rsidR="00791681" w:rsidRPr="008B2EE6">
        <w:rPr>
          <w:rFonts w:ascii="Verdana" w:hAnsi="Verdana" w:cs="Arial"/>
          <w:bCs/>
          <w:sz w:val="24"/>
          <w:szCs w:val="24"/>
        </w:rPr>
        <w:t>«</w:t>
      </w:r>
      <w:r w:rsidR="009719E7" w:rsidRPr="0099436F">
        <w:rPr>
          <w:rFonts w:ascii="Verdana" w:hAnsi="Verdana" w:cs="Arial"/>
          <w:bCs/>
          <w:i/>
          <w:iCs/>
          <w:sz w:val="24"/>
          <w:szCs w:val="24"/>
        </w:rPr>
        <w:t>Reporte de información de margen de solvencia y otros requerimientos de patrimonio y declaración del control de ley margen de solvencia</w:t>
      </w:r>
      <w:r w:rsidR="00791681" w:rsidRPr="007B7933">
        <w:rPr>
          <w:rFonts w:ascii="Verdana" w:hAnsi="Verdana" w:cs="Arial"/>
          <w:bCs/>
          <w:i/>
          <w:iCs/>
          <w:sz w:val="24"/>
          <w:szCs w:val="24"/>
        </w:rPr>
        <w:t>»</w:t>
      </w:r>
      <w:r w:rsidR="00EC0068">
        <w:rPr>
          <w:rFonts w:ascii="Verdana" w:hAnsi="Verdana" w:cs="Arial"/>
          <w:bCs/>
          <w:i/>
          <w:iCs/>
          <w:sz w:val="24"/>
          <w:szCs w:val="24"/>
        </w:rPr>
        <w:t>)</w:t>
      </w:r>
      <w:r w:rsidR="009719E7">
        <w:rPr>
          <w:rFonts w:ascii="Verdana" w:hAnsi="Verdana" w:cs="Arial"/>
          <w:bCs/>
          <w:i/>
          <w:iCs/>
          <w:sz w:val="24"/>
          <w:szCs w:val="24"/>
        </w:rPr>
        <w:t xml:space="preserve"> </w:t>
      </w:r>
      <w:bookmarkEnd w:id="1"/>
      <w:r w:rsidR="00A45207">
        <w:rPr>
          <w:rFonts w:ascii="Verdana" w:hAnsi="Verdana" w:cs="Arial"/>
          <w:bCs/>
          <w:sz w:val="24"/>
          <w:szCs w:val="24"/>
        </w:rPr>
        <w:t>para</w:t>
      </w:r>
      <w:r w:rsidR="009719E7">
        <w:rPr>
          <w:rFonts w:ascii="Verdana" w:hAnsi="Verdana" w:cs="Arial"/>
          <w:bCs/>
          <w:sz w:val="24"/>
          <w:szCs w:val="24"/>
        </w:rPr>
        <w:t xml:space="preserve"> establecer el porcentaje de ponderación gradual y definitivo de los créditos de libranza </w:t>
      </w:r>
      <w:r w:rsidR="00EC0068">
        <w:rPr>
          <w:rFonts w:ascii="Verdana" w:hAnsi="Verdana" w:cs="Arial"/>
          <w:bCs/>
          <w:sz w:val="24"/>
          <w:szCs w:val="24"/>
        </w:rPr>
        <w:t>o descuento directo.</w:t>
      </w:r>
      <w:r w:rsidR="00A45207">
        <w:rPr>
          <w:rFonts w:ascii="Verdana" w:hAnsi="Verdana" w:cs="Arial"/>
          <w:bCs/>
          <w:sz w:val="24"/>
          <w:szCs w:val="24"/>
        </w:rPr>
        <w:t xml:space="preserve"> </w:t>
      </w:r>
    </w:p>
    <w:p w14:paraId="3A444B28" w14:textId="77777777" w:rsidR="00B45A7E" w:rsidRDefault="00B45A7E" w:rsidP="0099626C">
      <w:pPr>
        <w:widowControl w:val="0"/>
        <w:autoSpaceDE w:val="0"/>
        <w:autoSpaceDN w:val="0"/>
        <w:adjustRightInd w:val="0"/>
        <w:jc w:val="both"/>
        <w:rPr>
          <w:rFonts w:ascii="Verdana" w:hAnsi="Verdana" w:cs="Arial"/>
          <w:bCs/>
          <w:sz w:val="24"/>
          <w:szCs w:val="24"/>
        </w:rPr>
      </w:pPr>
    </w:p>
    <w:p w14:paraId="609288A3" w14:textId="73BA18E4" w:rsidR="0099626C" w:rsidRPr="00AA7650" w:rsidRDefault="00B45A7E" w:rsidP="0099626C">
      <w:pPr>
        <w:widowControl w:val="0"/>
        <w:autoSpaceDE w:val="0"/>
        <w:autoSpaceDN w:val="0"/>
        <w:adjustRightInd w:val="0"/>
        <w:jc w:val="both"/>
        <w:rPr>
          <w:rFonts w:ascii="Verdana" w:hAnsi="Verdana" w:cs="Arial"/>
          <w:sz w:val="24"/>
          <w:szCs w:val="24"/>
          <w:lang w:val="es-ES"/>
        </w:rPr>
      </w:pPr>
      <w:r>
        <w:rPr>
          <w:rFonts w:ascii="Verdana" w:hAnsi="Verdana" w:cs="Arial"/>
          <w:b/>
          <w:bCs/>
          <w:sz w:val="24"/>
          <w:szCs w:val="24"/>
        </w:rPr>
        <w:t>CUARTA</w:t>
      </w:r>
      <w:r w:rsidR="0099626C">
        <w:rPr>
          <w:rFonts w:ascii="Verdana" w:hAnsi="Verdana" w:cs="Arial"/>
          <w:b/>
          <w:bCs/>
          <w:sz w:val="24"/>
          <w:szCs w:val="24"/>
        </w:rPr>
        <w:t>:</w:t>
      </w:r>
      <w:r w:rsidR="00E01773">
        <w:rPr>
          <w:rFonts w:ascii="Verdana" w:hAnsi="Verdana" w:cs="Arial"/>
          <w:b/>
          <w:bCs/>
          <w:sz w:val="24"/>
          <w:szCs w:val="24"/>
        </w:rPr>
        <w:t xml:space="preserve"> </w:t>
      </w:r>
      <w:r w:rsidR="00362B1E">
        <w:rPr>
          <w:rFonts w:ascii="Verdana" w:hAnsi="Verdana" w:cs="Arial"/>
          <w:b/>
          <w:bCs/>
          <w:sz w:val="24"/>
          <w:szCs w:val="24"/>
        </w:rPr>
        <w:t xml:space="preserve">PRUEBAS. </w:t>
      </w:r>
      <w:r w:rsidR="00AA7650">
        <w:rPr>
          <w:rFonts w:ascii="Verdana" w:hAnsi="Verdana" w:cs="Arial"/>
          <w:sz w:val="24"/>
          <w:szCs w:val="24"/>
        </w:rPr>
        <w:t xml:space="preserve">Para asegurar </w:t>
      </w:r>
      <w:r w:rsidR="00FB2FA0">
        <w:rPr>
          <w:rFonts w:ascii="Verdana" w:hAnsi="Verdana" w:cs="Arial"/>
          <w:sz w:val="24"/>
          <w:szCs w:val="24"/>
        </w:rPr>
        <w:t xml:space="preserve">la correcta transmisión de la proforma modificada mediante la instrucción </w:t>
      </w:r>
      <w:r>
        <w:rPr>
          <w:rFonts w:ascii="Verdana" w:hAnsi="Verdana" w:cs="Arial"/>
          <w:sz w:val="24"/>
          <w:szCs w:val="24"/>
        </w:rPr>
        <w:t>TERCERA</w:t>
      </w:r>
      <w:r w:rsidR="00FB2FA0">
        <w:rPr>
          <w:rFonts w:ascii="Verdana" w:hAnsi="Verdana" w:cs="Arial"/>
          <w:sz w:val="24"/>
          <w:szCs w:val="24"/>
        </w:rPr>
        <w:t xml:space="preserve">, las entidades destinatarias deben realizar pruebas obligatorias entre </w:t>
      </w:r>
      <w:r w:rsidR="000F645B">
        <w:rPr>
          <w:rFonts w:ascii="Verdana" w:hAnsi="Verdana" w:cs="Arial"/>
          <w:sz w:val="24"/>
          <w:szCs w:val="24"/>
        </w:rPr>
        <w:t xml:space="preserve">el 23 y </w:t>
      </w:r>
      <w:r w:rsidR="00BA67AE">
        <w:rPr>
          <w:rFonts w:ascii="Verdana" w:hAnsi="Verdana" w:cs="Arial"/>
          <w:sz w:val="24"/>
          <w:szCs w:val="24"/>
        </w:rPr>
        <w:t xml:space="preserve">27 de junio del año en curso, con la información correspondiente al corte del </w:t>
      </w:r>
      <w:r w:rsidR="00366562">
        <w:rPr>
          <w:rFonts w:ascii="Verdana" w:hAnsi="Verdana" w:cs="Arial"/>
          <w:sz w:val="24"/>
          <w:szCs w:val="24"/>
        </w:rPr>
        <w:t xml:space="preserve">31 de mayo de 2025. </w:t>
      </w:r>
    </w:p>
    <w:p w14:paraId="284DEBD7" w14:textId="77777777" w:rsidR="0099626C" w:rsidRDefault="0099626C" w:rsidP="008B2EE6">
      <w:pPr>
        <w:widowControl w:val="0"/>
        <w:autoSpaceDE w:val="0"/>
        <w:autoSpaceDN w:val="0"/>
        <w:adjustRightInd w:val="0"/>
        <w:jc w:val="both"/>
        <w:rPr>
          <w:rFonts w:ascii="Verdana" w:hAnsi="Verdana" w:cs="Arial"/>
          <w:b/>
          <w:bCs/>
          <w:sz w:val="24"/>
          <w:szCs w:val="24"/>
        </w:rPr>
      </w:pPr>
    </w:p>
    <w:p w14:paraId="0030A09B" w14:textId="0D75DD90" w:rsidR="008B2EE6" w:rsidRPr="008B2EE6" w:rsidRDefault="00A76A9E" w:rsidP="008B2EE6">
      <w:pPr>
        <w:widowControl w:val="0"/>
        <w:autoSpaceDE w:val="0"/>
        <w:autoSpaceDN w:val="0"/>
        <w:adjustRightInd w:val="0"/>
        <w:jc w:val="both"/>
        <w:rPr>
          <w:rFonts w:ascii="Verdana" w:hAnsi="Verdana" w:cs="Arial"/>
          <w:sz w:val="24"/>
          <w:szCs w:val="24"/>
        </w:rPr>
      </w:pPr>
      <w:r>
        <w:rPr>
          <w:rFonts w:ascii="Verdana" w:hAnsi="Verdana" w:cs="Arial"/>
          <w:b/>
          <w:bCs/>
          <w:sz w:val="24"/>
          <w:szCs w:val="24"/>
        </w:rPr>
        <w:t>QUINTA</w:t>
      </w:r>
      <w:r w:rsidR="008B2EE6" w:rsidRPr="008B2EE6">
        <w:rPr>
          <w:rFonts w:ascii="Verdana" w:hAnsi="Verdana" w:cs="Arial"/>
          <w:b/>
          <w:bCs/>
          <w:sz w:val="24"/>
          <w:szCs w:val="24"/>
        </w:rPr>
        <w:t>: RÉGIMEN DE TRANSICIÓN</w:t>
      </w:r>
      <w:r w:rsidR="008664A7">
        <w:rPr>
          <w:rFonts w:ascii="Verdana" w:hAnsi="Verdana" w:cs="Arial"/>
          <w:b/>
          <w:bCs/>
          <w:sz w:val="24"/>
          <w:szCs w:val="24"/>
        </w:rPr>
        <w:t xml:space="preserve"> Y VIGENCIA</w:t>
      </w:r>
      <w:r w:rsidR="008B2EE6" w:rsidRPr="008B2EE6">
        <w:rPr>
          <w:rFonts w:ascii="Verdana" w:hAnsi="Verdana" w:cs="Arial"/>
          <w:b/>
          <w:bCs/>
          <w:sz w:val="24"/>
          <w:szCs w:val="24"/>
        </w:rPr>
        <w:t xml:space="preserve">. </w:t>
      </w:r>
      <w:r w:rsidR="008B2EE6" w:rsidRPr="008B2EE6">
        <w:rPr>
          <w:rFonts w:ascii="Verdana" w:hAnsi="Verdana" w:cs="Arial"/>
          <w:sz w:val="24"/>
          <w:szCs w:val="24"/>
        </w:rPr>
        <w:t>Para efectos de la aplicación de las instrucciones de la presente Circular se tendrán en cuenta los siguientes lineamientos:</w:t>
      </w:r>
    </w:p>
    <w:p w14:paraId="648DFFEC" w14:textId="77777777" w:rsidR="008B2EE6" w:rsidRPr="008B2EE6" w:rsidRDefault="008B2EE6" w:rsidP="008B2EE6">
      <w:pPr>
        <w:widowControl w:val="0"/>
        <w:autoSpaceDE w:val="0"/>
        <w:autoSpaceDN w:val="0"/>
        <w:adjustRightInd w:val="0"/>
        <w:jc w:val="both"/>
        <w:rPr>
          <w:rFonts w:ascii="Verdana" w:hAnsi="Verdana" w:cs="Arial"/>
          <w:sz w:val="24"/>
          <w:szCs w:val="24"/>
        </w:rPr>
      </w:pPr>
    </w:p>
    <w:p w14:paraId="369FE19E" w14:textId="55ACD074" w:rsidR="008B2EE6" w:rsidRPr="008B2EE6" w:rsidRDefault="00362B1E" w:rsidP="008B2EE6">
      <w:pPr>
        <w:widowControl w:val="0"/>
        <w:autoSpaceDE w:val="0"/>
        <w:autoSpaceDN w:val="0"/>
        <w:adjustRightInd w:val="0"/>
        <w:jc w:val="both"/>
        <w:rPr>
          <w:rFonts w:ascii="Verdana" w:hAnsi="Verdana" w:cs="Arial"/>
          <w:sz w:val="24"/>
          <w:szCs w:val="24"/>
        </w:rPr>
      </w:pPr>
      <w:r>
        <w:rPr>
          <w:rFonts w:ascii="Verdana" w:hAnsi="Verdana" w:cs="Arial"/>
          <w:sz w:val="24"/>
          <w:szCs w:val="24"/>
        </w:rPr>
        <w:t>4</w:t>
      </w:r>
      <w:r w:rsidR="008B2EE6" w:rsidRPr="008B2EE6">
        <w:rPr>
          <w:rFonts w:ascii="Verdana" w:hAnsi="Verdana" w:cs="Arial"/>
          <w:sz w:val="24"/>
          <w:szCs w:val="24"/>
        </w:rPr>
        <w:t xml:space="preserve">.1. Las disposiciones </w:t>
      </w:r>
      <w:r w:rsidR="00E62333">
        <w:rPr>
          <w:rFonts w:ascii="Verdana" w:hAnsi="Verdana" w:cs="Arial"/>
          <w:sz w:val="24"/>
          <w:szCs w:val="24"/>
        </w:rPr>
        <w:t>de la instrucción PRIMERA</w:t>
      </w:r>
      <w:r w:rsidR="000A771B">
        <w:rPr>
          <w:rFonts w:ascii="Verdana" w:hAnsi="Verdana" w:cs="Arial"/>
          <w:sz w:val="24"/>
          <w:szCs w:val="24"/>
        </w:rPr>
        <w:t xml:space="preserve"> de la presente Circular</w:t>
      </w:r>
      <w:r>
        <w:rPr>
          <w:rFonts w:ascii="Verdana" w:hAnsi="Verdana" w:cs="Arial"/>
          <w:sz w:val="24"/>
          <w:szCs w:val="24"/>
        </w:rPr>
        <w:t xml:space="preserve"> Externa</w:t>
      </w:r>
      <w:r w:rsidR="000A771B">
        <w:rPr>
          <w:rFonts w:ascii="Verdana" w:hAnsi="Verdana" w:cs="Arial"/>
          <w:sz w:val="24"/>
          <w:szCs w:val="24"/>
        </w:rPr>
        <w:t xml:space="preserve"> </w:t>
      </w:r>
      <w:r w:rsidR="00727A8A">
        <w:rPr>
          <w:rFonts w:ascii="Verdana" w:hAnsi="Verdana" w:cs="Arial"/>
          <w:sz w:val="24"/>
          <w:szCs w:val="24"/>
        </w:rPr>
        <w:t>entrarán en vigor</w:t>
      </w:r>
      <w:r w:rsidR="000A771B">
        <w:rPr>
          <w:rFonts w:ascii="Verdana" w:hAnsi="Verdana" w:cs="Arial"/>
          <w:sz w:val="24"/>
          <w:szCs w:val="24"/>
        </w:rPr>
        <w:t xml:space="preserve"> a partir del 4 de agosto de 2025, de acuerdo con lo previsto en </w:t>
      </w:r>
      <w:r>
        <w:rPr>
          <w:rFonts w:ascii="Verdana" w:hAnsi="Verdana" w:cs="Arial"/>
          <w:sz w:val="24"/>
          <w:szCs w:val="24"/>
        </w:rPr>
        <w:t>el artículo 4 del Decreto 0573 de 2025.</w:t>
      </w:r>
    </w:p>
    <w:p w14:paraId="2E9F4D4E" w14:textId="77777777" w:rsidR="008B2EE6" w:rsidRPr="008B2EE6" w:rsidRDefault="008B2EE6" w:rsidP="008B2EE6">
      <w:pPr>
        <w:widowControl w:val="0"/>
        <w:autoSpaceDE w:val="0"/>
        <w:autoSpaceDN w:val="0"/>
        <w:adjustRightInd w:val="0"/>
        <w:jc w:val="both"/>
        <w:rPr>
          <w:rFonts w:ascii="Verdana" w:hAnsi="Verdana" w:cs="Arial"/>
          <w:bCs/>
          <w:sz w:val="24"/>
          <w:szCs w:val="24"/>
        </w:rPr>
      </w:pPr>
    </w:p>
    <w:p w14:paraId="30657A2F" w14:textId="78568481" w:rsidR="002758C1" w:rsidRDefault="00362B1E" w:rsidP="008B2EE6">
      <w:pPr>
        <w:widowControl w:val="0"/>
        <w:autoSpaceDE w:val="0"/>
        <w:autoSpaceDN w:val="0"/>
        <w:adjustRightInd w:val="0"/>
        <w:jc w:val="both"/>
        <w:rPr>
          <w:rFonts w:ascii="Verdana" w:hAnsi="Verdana" w:cs="Arial"/>
          <w:bCs/>
          <w:sz w:val="24"/>
          <w:szCs w:val="24"/>
        </w:rPr>
      </w:pPr>
      <w:r>
        <w:rPr>
          <w:rFonts w:ascii="Verdana" w:hAnsi="Verdana" w:cs="Arial"/>
          <w:bCs/>
          <w:sz w:val="24"/>
          <w:szCs w:val="24"/>
        </w:rPr>
        <w:t>4</w:t>
      </w:r>
      <w:r w:rsidR="008B2EE6" w:rsidRPr="008B2EE6">
        <w:rPr>
          <w:rFonts w:ascii="Verdana" w:hAnsi="Verdana" w:cs="Arial"/>
          <w:bCs/>
          <w:sz w:val="24"/>
          <w:szCs w:val="24"/>
        </w:rPr>
        <w:t xml:space="preserve">.2. </w:t>
      </w:r>
      <w:r w:rsidR="00DD4609">
        <w:rPr>
          <w:rFonts w:ascii="Verdana" w:hAnsi="Verdana" w:cs="Arial"/>
          <w:sz w:val="24"/>
          <w:szCs w:val="24"/>
        </w:rPr>
        <w:t xml:space="preserve">La primera </w:t>
      </w:r>
      <w:r w:rsidR="001A789E">
        <w:rPr>
          <w:rFonts w:ascii="Verdana" w:hAnsi="Verdana" w:cs="Arial"/>
          <w:sz w:val="24"/>
          <w:szCs w:val="24"/>
        </w:rPr>
        <w:t xml:space="preserve">transmisión oficial de las modificaciones realizadas en la proforma </w:t>
      </w:r>
      <w:r w:rsidR="00CB2A6C">
        <w:rPr>
          <w:rFonts w:ascii="Verdana" w:hAnsi="Verdana" w:cs="Arial"/>
          <w:sz w:val="24"/>
          <w:szCs w:val="24"/>
        </w:rPr>
        <w:t>de que trata</w:t>
      </w:r>
      <w:r w:rsidR="00996B0A">
        <w:rPr>
          <w:rFonts w:ascii="Verdana" w:hAnsi="Verdana" w:cs="Arial"/>
          <w:sz w:val="24"/>
          <w:szCs w:val="24"/>
        </w:rPr>
        <w:t xml:space="preserve"> </w:t>
      </w:r>
      <w:r w:rsidR="001A789E">
        <w:rPr>
          <w:rFonts w:ascii="Verdana" w:hAnsi="Verdana" w:cs="Arial"/>
          <w:sz w:val="24"/>
          <w:szCs w:val="24"/>
        </w:rPr>
        <w:t xml:space="preserve">la instrucción </w:t>
      </w:r>
      <w:r w:rsidR="007B0692">
        <w:rPr>
          <w:rFonts w:ascii="Verdana" w:hAnsi="Verdana" w:cs="Arial"/>
          <w:sz w:val="24"/>
          <w:szCs w:val="24"/>
        </w:rPr>
        <w:t>TERCERA</w:t>
      </w:r>
      <w:r w:rsidR="00996B0A">
        <w:rPr>
          <w:rFonts w:ascii="Verdana" w:hAnsi="Verdana" w:cs="Arial"/>
          <w:sz w:val="24"/>
          <w:szCs w:val="24"/>
        </w:rPr>
        <w:t xml:space="preserve"> se debe realizar con la información a corte del mes </w:t>
      </w:r>
      <w:r w:rsidR="00CB2A6C">
        <w:rPr>
          <w:rFonts w:ascii="Verdana" w:hAnsi="Verdana" w:cs="Arial"/>
          <w:sz w:val="24"/>
          <w:szCs w:val="24"/>
        </w:rPr>
        <w:t>de julio de 2025</w:t>
      </w:r>
      <w:r w:rsidR="001D6541">
        <w:rPr>
          <w:rFonts w:ascii="Verdana" w:hAnsi="Verdana" w:cs="Arial"/>
          <w:sz w:val="24"/>
          <w:szCs w:val="24"/>
        </w:rPr>
        <w:t>, según las disposiciones del</w:t>
      </w:r>
      <w:r w:rsidR="000520FA">
        <w:rPr>
          <w:rFonts w:ascii="Verdana" w:hAnsi="Verdana" w:cs="Arial"/>
          <w:sz w:val="24"/>
          <w:szCs w:val="24"/>
        </w:rPr>
        <w:t xml:space="preserve"> </w:t>
      </w:r>
      <w:r w:rsidR="001D6541">
        <w:rPr>
          <w:rFonts w:ascii="Verdana" w:hAnsi="Verdana" w:cs="Arial"/>
          <w:sz w:val="24"/>
          <w:szCs w:val="24"/>
        </w:rPr>
        <w:t>instructivo de reporte</w:t>
      </w:r>
      <w:r w:rsidR="000520FA">
        <w:rPr>
          <w:rFonts w:ascii="Verdana" w:hAnsi="Verdana" w:cs="Arial"/>
          <w:sz w:val="24"/>
          <w:szCs w:val="24"/>
        </w:rPr>
        <w:t xml:space="preserve"> correspondiente</w:t>
      </w:r>
      <w:r w:rsidR="001D6541">
        <w:rPr>
          <w:rFonts w:ascii="Verdana" w:hAnsi="Verdana" w:cs="Arial"/>
          <w:sz w:val="24"/>
          <w:szCs w:val="24"/>
        </w:rPr>
        <w:t>.</w:t>
      </w:r>
    </w:p>
    <w:p w14:paraId="400D368A" w14:textId="77777777" w:rsidR="00403008" w:rsidRDefault="00403008" w:rsidP="008B2EE6">
      <w:pPr>
        <w:widowControl w:val="0"/>
        <w:autoSpaceDE w:val="0"/>
        <w:autoSpaceDN w:val="0"/>
        <w:adjustRightInd w:val="0"/>
        <w:jc w:val="both"/>
        <w:rPr>
          <w:rFonts w:ascii="Verdana" w:hAnsi="Verdana" w:cs="Arial"/>
          <w:bCs/>
          <w:sz w:val="24"/>
          <w:szCs w:val="24"/>
        </w:rPr>
      </w:pPr>
    </w:p>
    <w:p w14:paraId="3F70168F" w14:textId="77777777" w:rsidR="002758C1" w:rsidRPr="008B046D" w:rsidRDefault="002758C1" w:rsidP="008B2EE6">
      <w:pPr>
        <w:widowControl w:val="0"/>
        <w:autoSpaceDE w:val="0"/>
        <w:autoSpaceDN w:val="0"/>
        <w:adjustRightInd w:val="0"/>
        <w:jc w:val="both"/>
        <w:rPr>
          <w:rFonts w:ascii="Verdana" w:hAnsi="Verdana" w:cs="Arial"/>
          <w:bCs/>
          <w:sz w:val="24"/>
          <w:szCs w:val="24"/>
        </w:rPr>
      </w:pPr>
    </w:p>
    <w:p w14:paraId="0368AA97" w14:textId="31ED770E" w:rsidR="008B2EE6" w:rsidRDefault="008B2EE6" w:rsidP="008B2EE6">
      <w:pPr>
        <w:widowControl w:val="0"/>
        <w:autoSpaceDE w:val="0"/>
        <w:autoSpaceDN w:val="0"/>
        <w:adjustRightInd w:val="0"/>
        <w:jc w:val="both"/>
        <w:rPr>
          <w:rFonts w:ascii="Verdana" w:hAnsi="Verdana" w:cs="Arial"/>
          <w:sz w:val="24"/>
          <w:szCs w:val="24"/>
        </w:rPr>
      </w:pPr>
      <w:r w:rsidRPr="008B2EE6">
        <w:rPr>
          <w:rFonts w:ascii="Verdana" w:hAnsi="Verdana" w:cs="Arial"/>
          <w:sz w:val="24"/>
          <w:szCs w:val="24"/>
        </w:rPr>
        <w:t xml:space="preserve">La presente Circular rige a partir de su publicación, </w:t>
      </w:r>
      <w:r w:rsidR="000963E4">
        <w:rPr>
          <w:rFonts w:ascii="Verdana" w:hAnsi="Verdana" w:cs="Arial"/>
          <w:sz w:val="24"/>
          <w:szCs w:val="24"/>
        </w:rPr>
        <w:t>sin perjuicio de</w:t>
      </w:r>
      <w:r w:rsidR="00027DB4">
        <w:rPr>
          <w:rFonts w:ascii="Verdana" w:hAnsi="Verdana" w:cs="Arial"/>
          <w:sz w:val="24"/>
          <w:szCs w:val="24"/>
        </w:rPr>
        <w:t xml:space="preserve"> lo previsto </w:t>
      </w:r>
      <w:r w:rsidRPr="008B2EE6">
        <w:rPr>
          <w:rFonts w:ascii="Verdana" w:hAnsi="Verdana" w:cs="Arial"/>
          <w:sz w:val="24"/>
          <w:szCs w:val="24"/>
        </w:rPr>
        <w:t xml:space="preserve">en la instrucción </w:t>
      </w:r>
      <w:r w:rsidR="004C64FE">
        <w:rPr>
          <w:rFonts w:ascii="Verdana" w:hAnsi="Verdana" w:cs="Arial"/>
          <w:sz w:val="24"/>
          <w:szCs w:val="24"/>
        </w:rPr>
        <w:t>QUINTA</w:t>
      </w:r>
      <w:r w:rsidR="00027DB4">
        <w:rPr>
          <w:rFonts w:ascii="Verdana" w:hAnsi="Verdana" w:cs="Arial"/>
          <w:sz w:val="24"/>
          <w:szCs w:val="24"/>
        </w:rPr>
        <w:t>.</w:t>
      </w:r>
    </w:p>
    <w:p w14:paraId="7C30C267" w14:textId="77777777" w:rsidR="008B2EE6" w:rsidRPr="008B2EE6" w:rsidRDefault="008B2EE6" w:rsidP="008B2EE6">
      <w:pPr>
        <w:widowControl w:val="0"/>
        <w:autoSpaceDE w:val="0"/>
        <w:autoSpaceDN w:val="0"/>
        <w:adjustRightInd w:val="0"/>
        <w:jc w:val="both"/>
        <w:rPr>
          <w:rFonts w:ascii="Verdana" w:hAnsi="Verdana" w:cs="Arial"/>
          <w:b/>
          <w:sz w:val="24"/>
          <w:szCs w:val="24"/>
        </w:rPr>
      </w:pPr>
    </w:p>
    <w:p w14:paraId="759EEF16" w14:textId="37948949" w:rsidR="008B2EE6" w:rsidRPr="008B2EE6" w:rsidRDefault="008B2EE6" w:rsidP="008B2EE6">
      <w:pPr>
        <w:widowControl w:val="0"/>
        <w:autoSpaceDE w:val="0"/>
        <w:autoSpaceDN w:val="0"/>
        <w:adjustRightInd w:val="0"/>
        <w:jc w:val="both"/>
        <w:rPr>
          <w:rFonts w:ascii="Verdana" w:hAnsi="Verdana" w:cs="Arial"/>
          <w:bCs/>
          <w:sz w:val="24"/>
          <w:szCs w:val="24"/>
        </w:rPr>
      </w:pPr>
      <w:r w:rsidRPr="008B2EE6">
        <w:rPr>
          <w:rFonts w:ascii="Verdana" w:hAnsi="Verdana" w:cs="Arial"/>
          <w:bCs/>
          <w:sz w:val="24"/>
          <w:szCs w:val="24"/>
        </w:rPr>
        <w:t>Se adjunta</w:t>
      </w:r>
      <w:r w:rsidR="00027DB4">
        <w:rPr>
          <w:rFonts w:ascii="Verdana" w:hAnsi="Verdana" w:cs="Arial"/>
          <w:bCs/>
          <w:sz w:val="24"/>
          <w:szCs w:val="24"/>
        </w:rPr>
        <w:t>n</w:t>
      </w:r>
      <w:r w:rsidRPr="008B2EE6">
        <w:rPr>
          <w:rFonts w:ascii="Verdana" w:hAnsi="Verdana" w:cs="Arial"/>
          <w:bCs/>
          <w:sz w:val="24"/>
          <w:szCs w:val="24"/>
        </w:rPr>
        <w:t xml:space="preserve"> los</w:t>
      </w:r>
      <w:r w:rsidR="00027DB4">
        <w:rPr>
          <w:rFonts w:ascii="Verdana" w:hAnsi="Verdana" w:cs="Arial"/>
          <w:bCs/>
          <w:sz w:val="24"/>
          <w:szCs w:val="24"/>
        </w:rPr>
        <w:t xml:space="preserve"> archivos</w:t>
      </w:r>
      <w:r w:rsidRPr="008B2EE6">
        <w:rPr>
          <w:rFonts w:ascii="Verdana" w:hAnsi="Verdana" w:cs="Arial"/>
          <w:bCs/>
          <w:sz w:val="24"/>
          <w:szCs w:val="24"/>
        </w:rPr>
        <w:t xml:space="preserve"> correspondientes. </w:t>
      </w:r>
    </w:p>
    <w:p w14:paraId="6D4720FE" w14:textId="77777777" w:rsidR="008B2EE6" w:rsidRPr="008B2EE6" w:rsidRDefault="008B2EE6" w:rsidP="008B2EE6">
      <w:pPr>
        <w:widowControl w:val="0"/>
        <w:autoSpaceDE w:val="0"/>
        <w:autoSpaceDN w:val="0"/>
        <w:adjustRightInd w:val="0"/>
        <w:jc w:val="both"/>
        <w:rPr>
          <w:rFonts w:ascii="Verdana" w:hAnsi="Verdana" w:cs="Arial"/>
          <w:sz w:val="24"/>
          <w:szCs w:val="24"/>
        </w:rPr>
      </w:pPr>
    </w:p>
    <w:p w14:paraId="5CC98FCE" w14:textId="77777777" w:rsidR="008B2EE6" w:rsidRDefault="008B2EE6" w:rsidP="008B2EE6">
      <w:pPr>
        <w:widowControl w:val="0"/>
        <w:autoSpaceDE w:val="0"/>
        <w:autoSpaceDN w:val="0"/>
        <w:adjustRightInd w:val="0"/>
        <w:jc w:val="both"/>
        <w:rPr>
          <w:rFonts w:ascii="Verdana" w:hAnsi="Verdana" w:cs="Arial"/>
          <w:sz w:val="24"/>
          <w:szCs w:val="24"/>
        </w:rPr>
      </w:pPr>
    </w:p>
    <w:p w14:paraId="18AA8A06" w14:textId="77777777" w:rsidR="00235BA9" w:rsidRDefault="00235BA9" w:rsidP="008B2EE6">
      <w:pPr>
        <w:widowControl w:val="0"/>
        <w:autoSpaceDE w:val="0"/>
        <w:autoSpaceDN w:val="0"/>
        <w:adjustRightInd w:val="0"/>
        <w:jc w:val="both"/>
        <w:rPr>
          <w:rFonts w:ascii="Verdana" w:hAnsi="Verdana" w:cs="Arial"/>
          <w:sz w:val="24"/>
          <w:szCs w:val="24"/>
        </w:rPr>
      </w:pPr>
    </w:p>
    <w:p w14:paraId="34D8CF78" w14:textId="77777777" w:rsidR="008B2EE6" w:rsidRDefault="008B2EE6" w:rsidP="008B2EE6">
      <w:pPr>
        <w:widowControl w:val="0"/>
        <w:autoSpaceDE w:val="0"/>
        <w:autoSpaceDN w:val="0"/>
        <w:adjustRightInd w:val="0"/>
        <w:jc w:val="both"/>
        <w:rPr>
          <w:rFonts w:ascii="Verdana" w:hAnsi="Verdana" w:cs="Arial"/>
          <w:sz w:val="24"/>
          <w:szCs w:val="24"/>
        </w:rPr>
      </w:pPr>
    </w:p>
    <w:p w14:paraId="4217B3C6" w14:textId="77777777" w:rsidR="009822DF" w:rsidRPr="008B2EE6" w:rsidRDefault="009822DF" w:rsidP="008B2EE6">
      <w:pPr>
        <w:widowControl w:val="0"/>
        <w:autoSpaceDE w:val="0"/>
        <w:autoSpaceDN w:val="0"/>
        <w:adjustRightInd w:val="0"/>
        <w:jc w:val="both"/>
        <w:rPr>
          <w:rFonts w:ascii="Verdana" w:hAnsi="Verdana" w:cs="Arial"/>
          <w:sz w:val="24"/>
          <w:szCs w:val="24"/>
        </w:rPr>
      </w:pPr>
    </w:p>
    <w:p w14:paraId="7C9BFB9E" w14:textId="30BBED4B" w:rsidR="008B2EE6" w:rsidRPr="008B2EE6" w:rsidRDefault="008B2EE6" w:rsidP="008B2EE6">
      <w:pPr>
        <w:widowControl w:val="0"/>
        <w:adjustRightInd w:val="0"/>
        <w:outlineLvl w:val="0"/>
        <w:rPr>
          <w:rFonts w:ascii="Verdana" w:hAnsi="Verdana" w:cs="Arial"/>
          <w:b/>
          <w:bCs/>
          <w:sz w:val="24"/>
          <w:szCs w:val="24"/>
          <w:lang w:val="pt-BR" w:eastAsia="es-CO"/>
        </w:rPr>
      </w:pPr>
      <w:r w:rsidRPr="008B2EE6">
        <w:rPr>
          <w:rFonts w:ascii="Verdana" w:hAnsi="Verdana" w:cs="Arial"/>
          <w:b/>
          <w:bCs/>
          <w:sz w:val="24"/>
          <w:szCs w:val="24"/>
          <w:lang w:val="pt-BR" w:eastAsia="es-CO"/>
        </w:rPr>
        <w:t>CÉSAR FER</w:t>
      </w:r>
      <w:r w:rsidR="00027DB4">
        <w:rPr>
          <w:rFonts w:ascii="Verdana" w:hAnsi="Verdana" w:cs="Arial"/>
          <w:b/>
          <w:bCs/>
          <w:sz w:val="24"/>
          <w:szCs w:val="24"/>
          <w:lang w:val="pt-BR" w:eastAsia="es-CO"/>
        </w:rPr>
        <w:t>R</w:t>
      </w:r>
      <w:r w:rsidRPr="008B2EE6">
        <w:rPr>
          <w:rFonts w:ascii="Verdana" w:hAnsi="Verdana" w:cs="Arial"/>
          <w:b/>
          <w:bCs/>
          <w:sz w:val="24"/>
          <w:szCs w:val="24"/>
          <w:lang w:val="pt-BR" w:eastAsia="es-CO"/>
        </w:rPr>
        <w:t>ARI Ph.D.</w:t>
      </w:r>
    </w:p>
    <w:p w14:paraId="0710D21D" w14:textId="77777777" w:rsidR="008B2EE6" w:rsidRPr="008B2EE6" w:rsidRDefault="008B2EE6" w:rsidP="008B2EE6">
      <w:pPr>
        <w:widowControl w:val="0"/>
        <w:autoSpaceDE w:val="0"/>
        <w:autoSpaceDN w:val="0"/>
        <w:adjustRightInd w:val="0"/>
        <w:jc w:val="both"/>
        <w:rPr>
          <w:rFonts w:ascii="Verdana" w:hAnsi="Verdana" w:cs="Arial"/>
          <w:sz w:val="24"/>
          <w:szCs w:val="24"/>
        </w:rPr>
      </w:pPr>
      <w:r w:rsidRPr="008B2EE6">
        <w:rPr>
          <w:rFonts w:ascii="Verdana" w:hAnsi="Verdana" w:cs="Arial"/>
          <w:sz w:val="24"/>
          <w:szCs w:val="24"/>
        </w:rPr>
        <w:t xml:space="preserve">Superintendente Financiero de Colombia </w:t>
      </w:r>
    </w:p>
    <w:p w14:paraId="2B5963CD" w14:textId="77777777" w:rsidR="008B2EE6" w:rsidRPr="008B2EE6" w:rsidRDefault="008B2EE6" w:rsidP="008B2EE6">
      <w:pPr>
        <w:widowControl w:val="0"/>
        <w:autoSpaceDE w:val="0"/>
        <w:autoSpaceDN w:val="0"/>
        <w:adjustRightInd w:val="0"/>
        <w:jc w:val="both"/>
        <w:rPr>
          <w:rFonts w:ascii="Verdana" w:hAnsi="Verdana" w:cs="Arial"/>
          <w:color w:val="808080"/>
          <w:sz w:val="24"/>
          <w:szCs w:val="24"/>
        </w:rPr>
      </w:pPr>
      <w:r w:rsidRPr="008B2EE6">
        <w:rPr>
          <w:rFonts w:ascii="Verdana" w:hAnsi="Verdana" w:cs="Arial"/>
          <w:color w:val="808080"/>
          <w:sz w:val="24"/>
          <w:szCs w:val="24"/>
        </w:rPr>
        <w:t>50000</w:t>
      </w:r>
    </w:p>
    <w:p w14:paraId="1F566AF8" w14:textId="77777777" w:rsidR="008B2EE6" w:rsidRDefault="008B2EE6" w:rsidP="008B2EE6">
      <w:pPr>
        <w:widowControl w:val="0"/>
        <w:autoSpaceDE w:val="0"/>
        <w:autoSpaceDN w:val="0"/>
        <w:adjustRightInd w:val="0"/>
        <w:jc w:val="both"/>
        <w:rPr>
          <w:rFonts w:ascii="Verdana" w:hAnsi="Verdana" w:cs="Arial"/>
          <w:color w:val="808080"/>
          <w:sz w:val="24"/>
          <w:szCs w:val="24"/>
        </w:rPr>
      </w:pPr>
    </w:p>
    <w:p w14:paraId="5EFC4A8E" w14:textId="77777777" w:rsidR="00235BA9" w:rsidRPr="008B2EE6" w:rsidRDefault="00235BA9" w:rsidP="008B2EE6">
      <w:pPr>
        <w:widowControl w:val="0"/>
        <w:autoSpaceDE w:val="0"/>
        <w:autoSpaceDN w:val="0"/>
        <w:adjustRightInd w:val="0"/>
        <w:jc w:val="both"/>
        <w:rPr>
          <w:rFonts w:ascii="Verdana" w:hAnsi="Verdana" w:cs="Arial"/>
          <w:color w:val="808080"/>
          <w:sz w:val="24"/>
          <w:szCs w:val="24"/>
        </w:rPr>
      </w:pPr>
    </w:p>
    <w:p w14:paraId="4359880B" w14:textId="59E1DCE1" w:rsidR="00B51F39" w:rsidRDefault="00027DB4" w:rsidP="00027DB4">
      <w:pPr>
        <w:rPr>
          <w:rFonts w:ascii="Verdana" w:hAnsi="Verdana" w:cs="Arial"/>
        </w:rPr>
      </w:pPr>
      <w:r>
        <w:rPr>
          <w:rFonts w:ascii="Verdana" w:hAnsi="Verdana" w:cs="Arial"/>
        </w:rPr>
        <w:t>El</w:t>
      </w:r>
      <w:r w:rsidR="00235BA9">
        <w:rPr>
          <w:rFonts w:ascii="Verdana" w:hAnsi="Verdana" w:cs="Arial"/>
        </w:rPr>
        <w:t>aboró: Lucinda Díaz, Sebastián Durán</w:t>
      </w:r>
    </w:p>
    <w:p w14:paraId="4049272E" w14:textId="3B4DA3FB" w:rsidR="00235BA9" w:rsidRDefault="00235BA9" w:rsidP="00027DB4">
      <w:pPr>
        <w:rPr>
          <w:rFonts w:ascii="Verdana" w:hAnsi="Verdana" w:cs="Arial"/>
        </w:rPr>
      </w:pPr>
      <w:r>
        <w:rPr>
          <w:rFonts w:ascii="Verdana" w:hAnsi="Verdana" w:cs="Arial"/>
        </w:rPr>
        <w:t>Revisó: Sebastián Durán</w:t>
      </w:r>
    </w:p>
    <w:p w14:paraId="7A0AFA52" w14:textId="3DB2F46C" w:rsidR="00235BA9" w:rsidRPr="00027DB4" w:rsidRDefault="00235BA9" w:rsidP="00027DB4">
      <w:pPr>
        <w:rPr>
          <w:rFonts w:ascii="Verdana" w:hAnsi="Verdana" w:cs="Arial"/>
        </w:rPr>
      </w:pPr>
      <w:r>
        <w:rPr>
          <w:rFonts w:ascii="Verdana" w:hAnsi="Verdana" w:cs="Arial"/>
        </w:rPr>
        <w:t xml:space="preserve">Aprobó: Francisco Duque </w:t>
      </w:r>
    </w:p>
    <w:sectPr w:rsidR="00235BA9" w:rsidRPr="00027DB4" w:rsidSect="008B2EE6">
      <w:headerReference w:type="default" r:id="rId15"/>
      <w:footerReference w:type="default" r:id="rId16"/>
      <w:pgSz w:w="12240" w:h="18720" w:code="14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7CB0B" w14:textId="77777777" w:rsidR="00281FAD" w:rsidRDefault="00281FAD">
      <w:r>
        <w:separator/>
      </w:r>
    </w:p>
  </w:endnote>
  <w:endnote w:type="continuationSeparator" w:id="0">
    <w:p w14:paraId="7D3DA886" w14:textId="77777777" w:rsidR="00281FAD" w:rsidRDefault="0028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9D83C" w14:textId="77777777" w:rsidR="00564B20" w:rsidRDefault="00564B20">
    <w:pPr>
      <w:widowControl w:val="0"/>
      <w:autoSpaceDE w:val="0"/>
      <w:autoSpaceDN w:val="0"/>
      <w:adjustRightInd w:val="0"/>
      <w:jc w:val="both"/>
      <w:rPr>
        <w:rFonts w:ascii="Arial" w:hAnsi="Arial" w:cs="Arial"/>
        <w:sz w:val="22"/>
        <w:szCs w:val="22"/>
      </w:rPr>
    </w:pPr>
  </w:p>
  <w:p w14:paraId="2219344A" w14:textId="77777777" w:rsidR="00564B20" w:rsidRDefault="00564B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AD55" w14:textId="77777777" w:rsidR="00564B20" w:rsidRDefault="00564B20">
    <w:pPr>
      <w:widowControl w:val="0"/>
      <w:autoSpaceDE w:val="0"/>
      <w:autoSpaceDN w:val="0"/>
      <w:adjustRightInd w:val="0"/>
      <w:jc w:val="both"/>
      <w:rPr>
        <w:rFonts w:ascii="Arial" w:hAnsi="Arial" w:cs="Arial"/>
        <w:sz w:val="22"/>
        <w:szCs w:val="22"/>
      </w:rPr>
    </w:pPr>
  </w:p>
  <w:p w14:paraId="70C28538" w14:textId="77777777" w:rsidR="00564B20" w:rsidRDefault="00564B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F4D1" w14:textId="5B282923" w:rsidR="00BB296E" w:rsidRPr="00160630" w:rsidRDefault="00026E3E">
    <w:pPr>
      <w:pStyle w:val="Piedepgina"/>
      <w:jc w:val="right"/>
      <w:rPr>
        <w:rFonts w:ascii="Verdana" w:hAnsi="Verdana"/>
      </w:rPr>
    </w:pPr>
    <w:r>
      <w:rPr>
        <w:noProof/>
      </w:rPr>
      <mc:AlternateContent>
        <mc:Choice Requires="wps">
          <w:drawing>
            <wp:anchor distT="0" distB="0" distL="114300" distR="114300" simplePos="0" relativeHeight="251657728" behindDoc="0" locked="0" layoutInCell="1" allowOverlap="1" wp14:anchorId="43EC0B2C" wp14:editId="55488BCD">
              <wp:simplePos x="0" y="0"/>
              <wp:positionH relativeFrom="margin">
                <wp:posOffset>-95885</wp:posOffset>
              </wp:positionH>
              <wp:positionV relativeFrom="paragraph">
                <wp:posOffset>-245745</wp:posOffset>
              </wp:positionV>
              <wp:extent cx="6019800" cy="1229995"/>
              <wp:effectExtent l="0" t="0" r="0" b="0"/>
              <wp:wrapNone/>
              <wp:docPr id="2475306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1229995"/>
                      </a:xfrm>
                      <a:prstGeom prst="rect">
                        <a:avLst/>
                      </a:prstGeom>
                      <a:noFill/>
                      <a:ln w="6350">
                        <a:noFill/>
                      </a:ln>
                    </wps:spPr>
                    <wps:txbx>
                      <w:txbxContent>
                        <w:p w14:paraId="517582BC" w14:textId="77777777" w:rsidR="00BB296E" w:rsidRPr="00256928" w:rsidRDefault="00BB296E" w:rsidP="00BB296E">
                          <w:pPr>
                            <w:spacing w:line="276" w:lineRule="auto"/>
                            <w:jc w:val="both"/>
                            <w:rPr>
                              <w:rFonts w:ascii="Helvetica" w:hAnsi="Helvetica"/>
                            </w:rPr>
                          </w:pPr>
                          <w:r w:rsidRPr="00256928">
                            <w:rPr>
                              <w:rFonts w:ascii="Helvetica" w:hAnsi="Helvetica"/>
                            </w:rPr>
                            <w:t>________________________________________________________________________</w:t>
                          </w:r>
                          <w:r>
                            <w:rPr>
                              <w:rFonts w:ascii="Helvetica" w:hAnsi="Helvetica"/>
                            </w:rPr>
                            <w:t>________</w:t>
                          </w:r>
                        </w:p>
                        <w:p w14:paraId="2425386C" w14:textId="77777777" w:rsidR="00BB296E" w:rsidRPr="00160630" w:rsidRDefault="00BB296E" w:rsidP="00BB296E">
                          <w:pPr>
                            <w:spacing w:line="276" w:lineRule="auto"/>
                            <w:jc w:val="both"/>
                            <w:rPr>
                              <w:rFonts w:ascii="Verdana" w:hAnsi="Verdana"/>
                              <w:sz w:val="4"/>
                              <w:szCs w:val="4"/>
                            </w:rPr>
                          </w:pPr>
                        </w:p>
                        <w:p w14:paraId="42F23DB5" w14:textId="77777777" w:rsidR="00BB296E" w:rsidRPr="00284759" w:rsidRDefault="00BB296E" w:rsidP="00BB296E">
                          <w:pPr>
                            <w:spacing w:line="276" w:lineRule="auto"/>
                            <w:jc w:val="both"/>
                            <w:rPr>
                              <w:rFonts w:ascii="Verdana" w:hAnsi="Verdana"/>
                            </w:rPr>
                          </w:pPr>
                          <w:r w:rsidRPr="00284759">
                            <w:rPr>
                              <w:rFonts w:ascii="Verdana" w:hAnsi="Verdana"/>
                            </w:rPr>
                            <w:t xml:space="preserve">Dirección: </w:t>
                          </w:r>
                          <w:r w:rsidRPr="00AA1AA8">
                            <w:rPr>
                              <w:rFonts w:ascii="Verdana" w:hAnsi="Verdana" w:cs="Arial"/>
                              <w:bCs/>
                              <w:lang w:val="es-MX"/>
                            </w:rPr>
                            <w:t xml:space="preserve">Calle 7 No. 4 - 49 </w:t>
                          </w:r>
                          <w:r w:rsidRPr="00284759">
                            <w:rPr>
                              <w:rFonts w:ascii="Verdana" w:hAnsi="Verdana"/>
                            </w:rPr>
                            <w:t>Bogotá D.C., Colombia</w:t>
                          </w:r>
                        </w:p>
                        <w:p w14:paraId="6236249D" w14:textId="77777777" w:rsidR="00BB296E" w:rsidRPr="00284759" w:rsidRDefault="00BB296E" w:rsidP="00BB296E">
                          <w:pPr>
                            <w:spacing w:line="276" w:lineRule="auto"/>
                            <w:jc w:val="both"/>
                            <w:rPr>
                              <w:rFonts w:ascii="Verdana" w:hAnsi="Verdana"/>
                            </w:rPr>
                          </w:pPr>
                          <w:r w:rsidRPr="00284759">
                            <w:rPr>
                              <w:rFonts w:ascii="Verdana" w:hAnsi="Verdana"/>
                            </w:rPr>
                            <w:t>Conmutador: (+57) 601 5</w:t>
                          </w:r>
                          <w:r>
                            <w:rPr>
                              <w:rFonts w:ascii="Verdana" w:hAnsi="Verdana"/>
                            </w:rPr>
                            <w:t>94</w:t>
                          </w:r>
                          <w:r w:rsidRPr="00284759">
                            <w:rPr>
                              <w:rFonts w:ascii="Verdana" w:hAnsi="Verdana"/>
                            </w:rPr>
                            <w:t xml:space="preserve"> </w:t>
                          </w:r>
                          <w:r>
                            <w:rPr>
                              <w:rFonts w:ascii="Verdana" w:hAnsi="Verdana"/>
                            </w:rPr>
                            <w:t>02</w:t>
                          </w:r>
                          <w:r w:rsidRPr="00284759">
                            <w:rPr>
                              <w:rFonts w:ascii="Verdana" w:hAnsi="Verdana"/>
                            </w:rPr>
                            <w:t xml:space="preserve">00 - 601 </w:t>
                          </w:r>
                          <w:r>
                            <w:rPr>
                              <w:rFonts w:ascii="Verdana" w:hAnsi="Verdana"/>
                            </w:rPr>
                            <w:t>594</w:t>
                          </w:r>
                          <w:r w:rsidRPr="00284759">
                            <w:rPr>
                              <w:rFonts w:ascii="Verdana" w:hAnsi="Verdana"/>
                            </w:rPr>
                            <w:t xml:space="preserve"> </w:t>
                          </w:r>
                          <w:r>
                            <w:rPr>
                              <w:rFonts w:ascii="Verdana" w:hAnsi="Verdana"/>
                            </w:rPr>
                            <w:t>0201</w:t>
                          </w:r>
                        </w:p>
                        <w:p w14:paraId="52278F66" w14:textId="77777777" w:rsidR="00BB296E" w:rsidRPr="00284759" w:rsidRDefault="00BB296E" w:rsidP="00BB296E">
                          <w:pPr>
                            <w:spacing w:line="276" w:lineRule="auto"/>
                            <w:jc w:val="both"/>
                            <w:rPr>
                              <w:rFonts w:ascii="Verdana" w:hAnsi="Verdana"/>
                            </w:rPr>
                          </w:pPr>
                          <w:r w:rsidRPr="00F8640E">
                            <w:rPr>
                              <w:rFonts w:ascii="Verdana" w:hAnsi="Verdana"/>
                            </w:rPr>
                            <w:t>www.superfinanciera.gov.co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C0B2C" id="_x0000_t202" coordsize="21600,21600" o:spt="202" path="m,l,21600r21600,l21600,xe">
              <v:stroke joinstyle="miter"/>
              <v:path gradientshapeok="t" o:connecttype="rect"/>
            </v:shapetype>
            <v:shape id="Cuadro de texto 2" o:spid="_x0000_s1026" type="#_x0000_t202" style="position:absolute;left:0;text-align:left;margin-left:-7.55pt;margin-top:-19.35pt;width:474pt;height:96.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" filled="f" stroked="f" strokeweight=".5pt">
              <v:textbox>
                <w:txbxContent>
                  <w:p w14:paraId="517582BC" w14:textId="77777777" w:rsidR="00BB296E" w:rsidRPr="00256928" w:rsidRDefault="00BB296E" w:rsidP="00BB296E">
                    <w:pPr>
                      <w:spacing w:line="276" w:lineRule="auto"/>
                      <w:jc w:val="both"/>
                      <w:rPr>
                        <w:rFonts w:ascii="Helvetica" w:hAnsi="Helvetica"/>
                      </w:rPr>
                    </w:pPr>
                    <w:r w:rsidRPr="00256928">
                      <w:rPr>
                        <w:rFonts w:ascii="Helvetica" w:hAnsi="Helvetica"/>
                      </w:rPr>
                      <w:t>________________________________________________________________________</w:t>
                    </w:r>
                    <w:r>
                      <w:rPr>
                        <w:rFonts w:ascii="Helvetica" w:hAnsi="Helvetica"/>
                      </w:rPr>
                      <w:t>________</w:t>
                    </w:r>
                  </w:p>
                  <w:p w14:paraId="2425386C" w14:textId="77777777" w:rsidR="00BB296E" w:rsidRPr="00160630" w:rsidRDefault="00BB296E" w:rsidP="00BB296E">
                    <w:pPr>
                      <w:spacing w:line="276" w:lineRule="auto"/>
                      <w:jc w:val="both"/>
                      <w:rPr>
                        <w:rFonts w:ascii="Verdana" w:hAnsi="Verdana"/>
                        <w:sz w:val="4"/>
                        <w:szCs w:val="4"/>
                      </w:rPr>
                    </w:pPr>
                  </w:p>
                  <w:p w14:paraId="42F23DB5" w14:textId="77777777" w:rsidR="00BB296E" w:rsidRPr="00284759" w:rsidRDefault="00BB296E" w:rsidP="00BB296E">
                    <w:pPr>
                      <w:spacing w:line="276" w:lineRule="auto"/>
                      <w:jc w:val="both"/>
                      <w:rPr>
                        <w:rFonts w:ascii="Verdana" w:hAnsi="Verdana"/>
                      </w:rPr>
                    </w:pPr>
                    <w:r w:rsidRPr="00284759">
                      <w:rPr>
                        <w:rFonts w:ascii="Verdana" w:hAnsi="Verdana"/>
                      </w:rPr>
                      <w:t xml:space="preserve">Dirección: </w:t>
                    </w:r>
                    <w:r w:rsidRPr="00AA1AA8">
                      <w:rPr>
                        <w:rFonts w:ascii="Verdana" w:hAnsi="Verdana" w:cs="Arial"/>
                        <w:bCs/>
                        <w:lang w:val="es-MX"/>
                      </w:rPr>
                      <w:t xml:space="preserve">Calle 7 No. 4 - 49 </w:t>
                    </w:r>
                    <w:r w:rsidRPr="00284759">
                      <w:rPr>
                        <w:rFonts w:ascii="Verdana" w:hAnsi="Verdana"/>
                      </w:rPr>
                      <w:t>Bogotá D.C., Colombia</w:t>
                    </w:r>
                  </w:p>
                  <w:p w14:paraId="6236249D" w14:textId="77777777" w:rsidR="00BB296E" w:rsidRPr="00284759" w:rsidRDefault="00BB296E" w:rsidP="00BB296E">
                    <w:pPr>
                      <w:spacing w:line="276" w:lineRule="auto"/>
                      <w:jc w:val="both"/>
                      <w:rPr>
                        <w:rFonts w:ascii="Verdana" w:hAnsi="Verdana"/>
                      </w:rPr>
                    </w:pPr>
                    <w:r w:rsidRPr="00284759">
                      <w:rPr>
                        <w:rFonts w:ascii="Verdana" w:hAnsi="Verdana"/>
                      </w:rPr>
                      <w:t>Conmutador: (+57) 601 5</w:t>
                    </w:r>
                    <w:r>
                      <w:rPr>
                        <w:rFonts w:ascii="Verdana" w:hAnsi="Verdana"/>
                      </w:rPr>
                      <w:t>94</w:t>
                    </w:r>
                    <w:r w:rsidRPr="00284759">
                      <w:rPr>
                        <w:rFonts w:ascii="Verdana" w:hAnsi="Verdana"/>
                      </w:rPr>
                      <w:t xml:space="preserve"> </w:t>
                    </w:r>
                    <w:r>
                      <w:rPr>
                        <w:rFonts w:ascii="Verdana" w:hAnsi="Verdana"/>
                      </w:rPr>
                      <w:t>02</w:t>
                    </w:r>
                    <w:r w:rsidRPr="00284759">
                      <w:rPr>
                        <w:rFonts w:ascii="Verdana" w:hAnsi="Verdana"/>
                      </w:rPr>
                      <w:t xml:space="preserve">00 - 601 </w:t>
                    </w:r>
                    <w:r>
                      <w:rPr>
                        <w:rFonts w:ascii="Verdana" w:hAnsi="Verdana"/>
                      </w:rPr>
                      <w:t>594</w:t>
                    </w:r>
                    <w:r w:rsidRPr="00284759">
                      <w:rPr>
                        <w:rFonts w:ascii="Verdana" w:hAnsi="Verdana"/>
                      </w:rPr>
                      <w:t xml:space="preserve"> </w:t>
                    </w:r>
                    <w:r>
                      <w:rPr>
                        <w:rFonts w:ascii="Verdana" w:hAnsi="Verdana"/>
                      </w:rPr>
                      <w:t>0201</w:t>
                    </w:r>
                  </w:p>
                  <w:p w14:paraId="52278F66" w14:textId="77777777" w:rsidR="00BB296E" w:rsidRPr="00284759" w:rsidRDefault="00BB296E" w:rsidP="00BB296E">
                    <w:pPr>
                      <w:spacing w:line="276" w:lineRule="auto"/>
                      <w:jc w:val="both"/>
                      <w:rPr>
                        <w:rFonts w:ascii="Verdana" w:hAnsi="Verdana"/>
                      </w:rPr>
                    </w:pPr>
                    <w:r w:rsidRPr="00F8640E">
                      <w:rPr>
                        <w:rFonts w:ascii="Verdana" w:hAnsi="Verdana"/>
                      </w:rPr>
                      <w:t>www.superfinanciera.gov.co</w:t>
                    </w:r>
                  </w:p>
                </w:txbxContent>
              </v:textbox>
              <w10:wrap anchorx="margin"/>
            </v:shape>
          </w:pict>
        </mc:Fallback>
      </mc:AlternateContent>
    </w:r>
    <w:r w:rsidR="00BB296E" w:rsidRPr="00160630">
      <w:rPr>
        <w:rFonts w:ascii="Verdana" w:hAnsi="Verdana"/>
        <w:lang w:val="es-ES"/>
      </w:rPr>
      <w:t xml:space="preserve">Página | </w:t>
    </w:r>
    <w:r w:rsidR="00BB296E" w:rsidRPr="00160630">
      <w:rPr>
        <w:rFonts w:ascii="Verdana" w:hAnsi="Verdana"/>
      </w:rPr>
      <w:fldChar w:fldCharType="begin"/>
    </w:r>
    <w:r w:rsidR="00BB296E" w:rsidRPr="00160630">
      <w:rPr>
        <w:rFonts w:ascii="Verdana" w:hAnsi="Verdana"/>
      </w:rPr>
      <w:instrText>PAGE   \* MERGEFORMAT</w:instrText>
    </w:r>
    <w:r w:rsidR="00BB296E" w:rsidRPr="00160630">
      <w:rPr>
        <w:rFonts w:ascii="Verdana" w:hAnsi="Verdana"/>
      </w:rPr>
      <w:fldChar w:fldCharType="separate"/>
    </w:r>
    <w:r w:rsidR="00BB296E" w:rsidRPr="00160630">
      <w:rPr>
        <w:rFonts w:ascii="Verdana" w:hAnsi="Verdana"/>
        <w:noProof/>
        <w:lang w:val="es-ES"/>
      </w:rPr>
      <w:t>1</w:t>
    </w:r>
    <w:r w:rsidR="00BB296E" w:rsidRPr="00160630">
      <w:rPr>
        <w:rFonts w:ascii="Verdana" w:hAnsi="Verdana"/>
      </w:rPr>
      <w:fldChar w:fldCharType="end"/>
    </w:r>
    <w:r w:rsidR="00BB296E" w:rsidRPr="00160630">
      <w:rPr>
        <w:rFonts w:ascii="Verdana" w:hAnsi="Verdana"/>
        <w:lang w:val="es-ES"/>
      </w:rPr>
      <w:t xml:space="preserve"> </w:t>
    </w:r>
  </w:p>
  <w:p w14:paraId="5D6CE737" w14:textId="77777777" w:rsidR="00BB296E" w:rsidRPr="00D34D20" w:rsidRDefault="00BB296E" w:rsidP="00BB296E">
    <w:pPr>
      <w:spacing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DA0D5" w14:textId="77777777" w:rsidR="00281FAD" w:rsidRDefault="00281FAD">
      <w:r>
        <w:separator/>
      </w:r>
    </w:p>
  </w:footnote>
  <w:footnote w:type="continuationSeparator" w:id="0">
    <w:p w14:paraId="68D70386" w14:textId="77777777" w:rsidR="00281FAD" w:rsidRDefault="00281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AD4B" w14:textId="77777777" w:rsidR="00564B20" w:rsidRDefault="00564B20">
    <w:pPr>
      <w:pStyle w:val="Encabezado"/>
      <w:jc w:val="center"/>
      <w:rPr>
        <w:rFonts w:ascii="Arial" w:hAnsi="Arial" w:cs="Arial"/>
        <w:b/>
        <w:sz w:val="24"/>
        <w:szCs w:val="24"/>
      </w:rPr>
    </w:pPr>
  </w:p>
  <w:p w14:paraId="2EF2EF0A" w14:textId="77777777" w:rsidR="00564B20" w:rsidRDefault="00564B20">
    <w:pPr>
      <w:pStyle w:val="Encabezado"/>
      <w:jc w:val="center"/>
      <w:rPr>
        <w:rFonts w:ascii="Arial" w:hAnsi="Arial" w:cs="Arial"/>
        <w:b/>
        <w:sz w:val="24"/>
        <w:szCs w:val="24"/>
      </w:rPr>
    </w:pPr>
  </w:p>
  <w:p w14:paraId="38C90F7A" w14:textId="77777777" w:rsidR="00564B20" w:rsidRDefault="00564B20">
    <w:pPr>
      <w:pStyle w:val="Encabezado"/>
      <w:jc w:val="center"/>
      <w:rPr>
        <w:rFonts w:ascii="Arial" w:hAnsi="Arial" w:cs="Arial"/>
        <w:b/>
        <w:sz w:val="24"/>
        <w:szCs w:val="24"/>
      </w:rPr>
    </w:pPr>
  </w:p>
  <w:p w14:paraId="146381AE" w14:textId="77777777" w:rsidR="00564B20" w:rsidRDefault="00564B20">
    <w:pPr>
      <w:pStyle w:val="Encabezado"/>
      <w:jc w:val="center"/>
      <w:rPr>
        <w:rFonts w:ascii="Arial" w:hAnsi="Arial" w:cs="Arial"/>
        <w:b/>
        <w:sz w:val="24"/>
        <w:szCs w:val="24"/>
      </w:rPr>
    </w:pPr>
    <w:r>
      <w:rPr>
        <w:rFonts w:ascii="Arial" w:hAnsi="Arial" w:cs="Arial"/>
        <w:b/>
        <w:sz w:val="24"/>
        <w:szCs w:val="24"/>
      </w:rPr>
      <w:t>SUPERINTENDENCIA FINANCIERA DE COLOMBIA</w:t>
    </w:r>
  </w:p>
  <w:p w14:paraId="4872B931" w14:textId="77777777" w:rsidR="00564B20" w:rsidRDefault="00564B20">
    <w:pPr>
      <w:pStyle w:val="Encabezado"/>
      <w:jc w:val="center"/>
      <w:rPr>
        <w:rFonts w:ascii="Arial" w:hAnsi="Arial" w:cs="Arial"/>
        <w:b/>
        <w:bCs/>
        <w:sz w:val="24"/>
        <w:szCs w:val="24"/>
        <w:lang w:val="es-CO"/>
      </w:rPr>
    </w:pPr>
  </w:p>
  <w:p w14:paraId="7437637D" w14:textId="77777777" w:rsidR="00564B20" w:rsidRDefault="00564B20">
    <w:pPr>
      <w:pStyle w:val="Encabezado"/>
      <w:jc w:val="both"/>
      <w:rPr>
        <w:rFonts w:ascii="Arial" w:hAnsi="Arial" w:cs="Arial"/>
        <w:b/>
        <w:bCs/>
        <w:sz w:val="24"/>
        <w:szCs w:val="24"/>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0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70" w:type="dxa"/>
        <w:right w:w="70" w:type="dxa"/>
      </w:tblCellMar>
      <w:tblLook w:val="0000" w:firstRow="0" w:lastRow="0" w:firstColumn="0" w:lastColumn="0" w:noHBand="0" w:noVBand="0"/>
    </w:tblPr>
    <w:tblGrid>
      <w:gridCol w:w="2630"/>
      <w:gridCol w:w="4399"/>
      <w:gridCol w:w="2052"/>
    </w:tblGrid>
    <w:tr w:rsidR="00564B20" w14:paraId="2CA175BE" w14:textId="77777777" w:rsidTr="0044428D">
      <w:trPr>
        <w:cantSplit/>
        <w:trHeight w:val="699"/>
      </w:trPr>
      <w:tc>
        <w:tcPr>
          <w:tcW w:w="2055" w:type="dxa"/>
          <w:vMerge w:val="restart"/>
          <w:noWrap/>
          <w:vAlign w:val="bottom"/>
        </w:tcPr>
        <w:p w14:paraId="2AB770C4" w14:textId="7F612C94" w:rsidR="00564B20" w:rsidRDefault="00026E3E" w:rsidP="000F6CB5">
          <w:pPr>
            <w:rPr>
              <w:rFonts w:cs="Arial"/>
              <w:sz w:val="2"/>
              <w:szCs w:val="2"/>
              <w:lang w:val="es-CO"/>
            </w:rPr>
          </w:pPr>
          <w:r>
            <w:rPr>
              <w:rFonts w:ascii="Arial" w:hAnsi="Arial" w:cs="Arial"/>
              <w:noProof/>
              <w:color w:val="000000"/>
              <w:lang w:eastAsia="es-419"/>
            </w:rPr>
            <w:drawing>
              <wp:inline distT="0" distB="0" distL="0" distR="0" wp14:anchorId="227879E5" wp14:editId="28B9EA60">
                <wp:extent cx="1581150" cy="558800"/>
                <wp:effectExtent l="0" t="0" r="0" b="0"/>
                <wp:docPr id="1" name="Imagen 19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0"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558800"/>
                        </a:xfrm>
                        <a:prstGeom prst="rect">
                          <a:avLst/>
                        </a:prstGeom>
                        <a:noFill/>
                        <a:ln>
                          <a:noFill/>
                        </a:ln>
                      </pic:spPr>
                    </pic:pic>
                  </a:graphicData>
                </a:graphic>
              </wp:inline>
            </w:drawing>
          </w:r>
        </w:p>
        <w:p w14:paraId="5A6DC7C6" w14:textId="77777777" w:rsidR="00564B20" w:rsidRDefault="00564B20" w:rsidP="000F6CB5">
          <w:pPr>
            <w:rPr>
              <w:rFonts w:cs="Arial"/>
              <w:sz w:val="2"/>
              <w:szCs w:val="2"/>
              <w:lang w:val="es-CO"/>
            </w:rPr>
          </w:pPr>
        </w:p>
        <w:p w14:paraId="4095D617" w14:textId="77777777" w:rsidR="00564B20" w:rsidRDefault="00564B20" w:rsidP="000F6CB5">
          <w:pPr>
            <w:rPr>
              <w:rFonts w:cs="Arial"/>
              <w:sz w:val="2"/>
              <w:szCs w:val="2"/>
              <w:lang w:val="es-CO"/>
            </w:rPr>
          </w:pPr>
        </w:p>
        <w:p w14:paraId="4F42FE0E" w14:textId="77777777" w:rsidR="00564B20" w:rsidRDefault="00564B20" w:rsidP="000F6CB5">
          <w:pPr>
            <w:rPr>
              <w:rFonts w:cs="Arial"/>
              <w:sz w:val="2"/>
              <w:szCs w:val="2"/>
              <w:lang w:val="es-CO"/>
            </w:rPr>
          </w:pPr>
        </w:p>
        <w:p w14:paraId="581946C9" w14:textId="77777777" w:rsidR="00564B20" w:rsidRDefault="00564B20" w:rsidP="000F6CB5">
          <w:pPr>
            <w:rPr>
              <w:rFonts w:cs="Arial"/>
              <w:sz w:val="2"/>
              <w:szCs w:val="2"/>
              <w:lang w:val="es-CO"/>
            </w:rPr>
          </w:pPr>
        </w:p>
      </w:tc>
      <w:tc>
        <w:tcPr>
          <w:tcW w:w="4399" w:type="dxa"/>
          <w:shd w:val="clear" w:color="auto" w:fill="FFFFFF"/>
          <w:noWrap/>
          <w:vAlign w:val="center"/>
        </w:tcPr>
        <w:p w14:paraId="5CBD75D8" w14:textId="77777777" w:rsidR="00564B20" w:rsidRDefault="00564B20" w:rsidP="000F6CB5">
          <w:pPr>
            <w:jc w:val="center"/>
            <w:rPr>
              <w:rFonts w:ascii="Arial" w:hAnsi="Arial" w:cs="Arial"/>
              <w:b/>
              <w:sz w:val="32"/>
              <w:szCs w:val="32"/>
              <w:lang w:val="es-CO"/>
            </w:rPr>
          </w:pPr>
          <w:r>
            <w:rPr>
              <w:rFonts w:ascii="Arial" w:hAnsi="Arial" w:cs="Arial"/>
              <w:b/>
              <w:sz w:val="32"/>
              <w:szCs w:val="32"/>
              <w:lang w:val="es-CO"/>
            </w:rPr>
            <w:t>PROFORMA INTERNA</w:t>
          </w:r>
        </w:p>
      </w:tc>
      <w:tc>
        <w:tcPr>
          <w:tcW w:w="2052" w:type="dxa"/>
          <w:shd w:val="clear" w:color="auto" w:fill="FFFFFF"/>
          <w:noWrap/>
          <w:vAlign w:val="center"/>
        </w:tcPr>
        <w:p w14:paraId="6B5EBDBA" w14:textId="77777777" w:rsidR="00564B20" w:rsidRDefault="00564B20" w:rsidP="000F6CB5">
          <w:pPr>
            <w:jc w:val="center"/>
            <w:rPr>
              <w:rFonts w:ascii="Arial" w:hAnsi="Arial" w:cs="Arial"/>
              <w:lang w:val="es-CO"/>
            </w:rPr>
          </w:pPr>
          <w:r>
            <w:rPr>
              <w:rFonts w:ascii="Arial" w:hAnsi="Arial" w:cs="Arial"/>
              <w:bCs/>
            </w:rPr>
            <w:t>E-PI-DDS-002</w:t>
          </w:r>
        </w:p>
      </w:tc>
    </w:tr>
    <w:tr w:rsidR="00564B20" w14:paraId="09B342D4" w14:textId="77777777" w:rsidTr="00043B3D">
      <w:trPr>
        <w:cantSplit/>
        <w:trHeight w:val="378"/>
      </w:trPr>
      <w:tc>
        <w:tcPr>
          <w:tcW w:w="2055" w:type="dxa"/>
          <w:vMerge/>
          <w:noWrap/>
          <w:vAlign w:val="bottom"/>
        </w:tcPr>
        <w:p w14:paraId="492EC686" w14:textId="77777777" w:rsidR="00564B20" w:rsidRDefault="00564B20" w:rsidP="000F6CB5">
          <w:pPr>
            <w:rPr>
              <w:rFonts w:cs="Arial"/>
              <w:color w:val="FFFFFF"/>
              <w:lang w:val="es-CO"/>
            </w:rPr>
          </w:pPr>
        </w:p>
      </w:tc>
      <w:tc>
        <w:tcPr>
          <w:tcW w:w="4399" w:type="dxa"/>
          <w:vAlign w:val="center"/>
        </w:tcPr>
        <w:p w14:paraId="2282EDFB" w14:textId="77777777" w:rsidR="00564B20" w:rsidRDefault="00564B20" w:rsidP="00564B20">
          <w:pPr>
            <w:pStyle w:val="Ttulo2"/>
            <w:jc w:val="center"/>
            <w:rPr>
              <w:rFonts w:cs="Arial"/>
            </w:rPr>
          </w:pPr>
          <w:r>
            <w:rPr>
              <w:rFonts w:cs="Arial"/>
            </w:rPr>
            <w:t>PUBLICACIÓN PARA COMENTARIOS</w:t>
          </w:r>
          <w:r w:rsidR="002B6E99">
            <w:rPr>
              <w:rFonts w:cs="Arial"/>
            </w:rPr>
            <w:t xml:space="preserve"> NORMA</w:t>
          </w:r>
        </w:p>
      </w:tc>
      <w:tc>
        <w:tcPr>
          <w:tcW w:w="2052" w:type="dxa"/>
          <w:shd w:val="clear" w:color="auto" w:fill="FFFFFF"/>
          <w:noWrap/>
          <w:vAlign w:val="center"/>
        </w:tcPr>
        <w:p w14:paraId="13F06DDC" w14:textId="77777777" w:rsidR="00564B20" w:rsidRDefault="00564B20" w:rsidP="000F6CB5">
          <w:pPr>
            <w:jc w:val="center"/>
            <w:rPr>
              <w:rFonts w:ascii="Arial" w:hAnsi="Arial" w:cs="Arial"/>
              <w:lang w:val="es-CO"/>
            </w:rPr>
          </w:pPr>
          <w:r>
            <w:rPr>
              <w:rFonts w:ascii="Arial" w:hAnsi="Arial" w:cs="Arial"/>
              <w:bCs/>
            </w:rPr>
            <w:t xml:space="preserve">Versión </w:t>
          </w:r>
          <w:r w:rsidR="001922C8">
            <w:rPr>
              <w:rFonts w:ascii="Arial" w:hAnsi="Arial" w:cs="Arial"/>
              <w:bCs/>
            </w:rPr>
            <w:t>5</w:t>
          </w:r>
        </w:p>
      </w:tc>
    </w:tr>
  </w:tbl>
  <w:p w14:paraId="3D177171" w14:textId="77777777" w:rsidR="00564B20" w:rsidRDefault="00564B20" w:rsidP="00564B20">
    <w:pPr>
      <w:pStyle w:val="Encabezado"/>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92C7" w14:textId="191EAA94" w:rsidR="00BB296E" w:rsidRDefault="00026E3E" w:rsidP="00BB296E">
    <w:pPr>
      <w:pStyle w:val="Encabezado"/>
      <w:jc w:val="center"/>
    </w:pPr>
    <w:r>
      <w:rPr>
        <w:noProof/>
      </w:rPr>
      <w:drawing>
        <wp:inline distT="0" distB="0" distL="0" distR="0" wp14:anchorId="02E91C37" wp14:editId="7715C475">
          <wp:extent cx="1905000" cy="8382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inline>
      </w:drawing>
    </w:r>
  </w:p>
  <w:p w14:paraId="3506C81E" w14:textId="77777777" w:rsidR="00BB296E" w:rsidRDefault="00BB296E">
    <w:pPr>
      <w:pStyle w:val="Encabezado"/>
    </w:pPr>
  </w:p>
  <w:p w14:paraId="6037E90F" w14:textId="77777777" w:rsidR="00BB296E" w:rsidRDefault="00BB29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D0C1AF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DF2FD7A"/>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E8C2D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88E663A"/>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9B34927"/>
    <w:multiLevelType w:val="hybridMultilevel"/>
    <w:tmpl w:val="30DCF93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0A3A01D9"/>
    <w:multiLevelType w:val="hybridMultilevel"/>
    <w:tmpl w:val="0B922468"/>
    <w:lvl w:ilvl="0" w:tplc="0C0A0017">
      <w:start w:val="1"/>
      <w:numFmt w:val="lowerLetter"/>
      <w:lvlText w:val="%1)"/>
      <w:lvlJc w:val="left"/>
      <w:pPr>
        <w:tabs>
          <w:tab w:val="num" w:pos="780"/>
        </w:tabs>
        <w:ind w:left="78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612D9E"/>
    <w:multiLevelType w:val="hybridMultilevel"/>
    <w:tmpl w:val="6BB0E05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3D0B79"/>
    <w:multiLevelType w:val="hybridMultilevel"/>
    <w:tmpl w:val="E44CFC80"/>
    <w:lvl w:ilvl="0" w:tplc="0C0A0013">
      <w:start w:val="1"/>
      <w:numFmt w:val="upperRoman"/>
      <w:lvlText w:val="%1."/>
      <w:lvlJc w:val="right"/>
      <w:pPr>
        <w:tabs>
          <w:tab w:val="num" w:pos="888"/>
        </w:tabs>
        <w:ind w:left="888" w:hanging="18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172A512A"/>
    <w:multiLevelType w:val="hybridMultilevel"/>
    <w:tmpl w:val="8A0E9EF0"/>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8191A1E"/>
    <w:multiLevelType w:val="hybridMultilevel"/>
    <w:tmpl w:val="53F436C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9FA44CB"/>
    <w:multiLevelType w:val="hybridMultilevel"/>
    <w:tmpl w:val="CF5C7240"/>
    <w:lvl w:ilvl="0" w:tplc="BF164162">
      <w:start w:val="1"/>
      <w:numFmt w:val="decimal"/>
      <w:lvlText w:val="%1."/>
      <w:lvlJc w:val="left"/>
      <w:pPr>
        <w:tabs>
          <w:tab w:val="num" w:pos="735"/>
        </w:tabs>
        <w:ind w:left="735" w:hanging="375"/>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1AF134F7"/>
    <w:multiLevelType w:val="hybridMultilevel"/>
    <w:tmpl w:val="3E8E1808"/>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1D3A7546"/>
    <w:multiLevelType w:val="hybridMultilevel"/>
    <w:tmpl w:val="B2C8346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D8104C5"/>
    <w:multiLevelType w:val="hybridMultilevel"/>
    <w:tmpl w:val="2CF89FE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69A0E11"/>
    <w:multiLevelType w:val="hybridMultilevel"/>
    <w:tmpl w:val="B430025A"/>
    <w:lvl w:ilvl="0" w:tplc="0C0A0017">
      <w:start w:val="1"/>
      <w:numFmt w:val="lowerLetter"/>
      <w:lvlText w:val="%1)"/>
      <w:lvlJc w:val="left"/>
      <w:pPr>
        <w:tabs>
          <w:tab w:val="num" w:pos="780"/>
        </w:tabs>
        <w:ind w:left="780" w:hanging="360"/>
      </w:pPr>
      <w:rPr>
        <w:rFont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E4728A8"/>
    <w:multiLevelType w:val="hybridMultilevel"/>
    <w:tmpl w:val="CAD03AB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01D7CDD"/>
    <w:multiLevelType w:val="hybridMultilevel"/>
    <w:tmpl w:val="E72E6E9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DF4013"/>
    <w:multiLevelType w:val="multilevel"/>
    <w:tmpl w:val="8A0E9E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D21AAD"/>
    <w:multiLevelType w:val="hybridMultilevel"/>
    <w:tmpl w:val="44862A6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4F85712"/>
    <w:multiLevelType w:val="hybridMultilevel"/>
    <w:tmpl w:val="A54CEF96"/>
    <w:lvl w:ilvl="0" w:tplc="0C0A0017">
      <w:start w:val="1"/>
      <w:numFmt w:val="lowerLetter"/>
      <w:lvlText w:val="%1)"/>
      <w:lvlJc w:val="left"/>
      <w:pPr>
        <w:tabs>
          <w:tab w:val="num" w:pos="720"/>
        </w:tabs>
        <w:ind w:left="720" w:hanging="360"/>
      </w:pPr>
    </w:lvl>
    <w:lvl w:ilvl="1" w:tplc="0C0A0013">
      <w:start w:val="1"/>
      <w:numFmt w:val="upperRoman"/>
      <w:lvlText w:val="%2."/>
      <w:lvlJc w:val="right"/>
      <w:pPr>
        <w:tabs>
          <w:tab w:val="num" w:pos="1260"/>
        </w:tabs>
        <w:ind w:left="1260" w:hanging="18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7B443EF"/>
    <w:multiLevelType w:val="hybridMultilevel"/>
    <w:tmpl w:val="EFCE722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82D43CF"/>
    <w:multiLevelType w:val="hybridMultilevel"/>
    <w:tmpl w:val="445AA5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87B0AFD"/>
    <w:multiLevelType w:val="hybridMultilevel"/>
    <w:tmpl w:val="9722749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AFF01A2"/>
    <w:multiLevelType w:val="hybridMultilevel"/>
    <w:tmpl w:val="8B5E31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CBA6D62"/>
    <w:multiLevelType w:val="multilevel"/>
    <w:tmpl w:val="5C7ED5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1080"/>
        </w:tabs>
        <w:ind w:left="792" w:hanging="792"/>
      </w:pPr>
      <w:rPr>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AD693B"/>
    <w:multiLevelType w:val="hybridMultilevel"/>
    <w:tmpl w:val="AE50D61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4A70876"/>
    <w:multiLevelType w:val="hybridMultilevel"/>
    <w:tmpl w:val="938E1D16"/>
    <w:lvl w:ilvl="0" w:tplc="0C0A0017">
      <w:start w:val="1"/>
      <w:numFmt w:val="lowerLetter"/>
      <w:lvlText w:val="%1)"/>
      <w:lvlJc w:val="left"/>
      <w:pPr>
        <w:tabs>
          <w:tab w:val="num" w:pos="780"/>
        </w:tabs>
        <w:ind w:left="780" w:hanging="360"/>
      </w:pPr>
      <w:rPr>
        <w:rFont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6CC4116"/>
    <w:multiLevelType w:val="hybridMultilevel"/>
    <w:tmpl w:val="5B54FC5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7624985"/>
    <w:multiLevelType w:val="hybridMultilevel"/>
    <w:tmpl w:val="5E8EE62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84006FA"/>
    <w:multiLevelType w:val="hybridMultilevel"/>
    <w:tmpl w:val="C64849B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973088C"/>
    <w:multiLevelType w:val="hybridMultilevel"/>
    <w:tmpl w:val="4498F6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9CC629C"/>
    <w:multiLevelType w:val="hybridMultilevel"/>
    <w:tmpl w:val="9D9A84E6"/>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9F5CA5"/>
    <w:multiLevelType w:val="hybridMultilevel"/>
    <w:tmpl w:val="F6245BB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02B513A"/>
    <w:multiLevelType w:val="hybridMultilevel"/>
    <w:tmpl w:val="1904FB1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0551AEE"/>
    <w:multiLevelType w:val="hybridMultilevel"/>
    <w:tmpl w:val="C7A47672"/>
    <w:lvl w:ilvl="0" w:tplc="0C0A0013">
      <w:start w:val="1"/>
      <w:numFmt w:val="upperRoman"/>
      <w:lvlText w:val="%1."/>
      <w:lvlJc w:val="right"/>
      <w:pPr>
        <w:tabs>
          <w:tab w:val="num" w:pos="888"/>
        </w:tabs>
        <w:ind w:left="888" w:hanging="180"/>
      </w:p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35" w15:restartNumberingAfterBreak="0">
    <w:nsid w:val="516C7077"/>
    <w:multiLevelType w:val="hybridMultilevel"/>
    <w:tmpl w:val="6106BD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7464E09"/>
    <w:multiLevelType w:val="hybridMultilevel"/>
    <w:tmpl w:val="C7F48FBC"/>
    <w:lvl w:ilvl="0" w:tplc="0C0A0017">
      <w:start w:val="1"/>
      <w:numFmt w:val="lowerLetter"/>
      <w:lvlText w:val="%1)"/>
      <w:lvlJc w:val="left"/>
      <w:pPr>
        <w:tabs>
          <w:tab w:val="num" w:pos="780"/>
        </w:tabs>
        <w:ind w:left="780" w:hanging="360"/>
      </w:pPr>
      <w:rPr>
        <w:rFont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5D113109"/>
    <w:multiLevelType w:val="hybridMultilevel"/>
    <w:tmpl w:val="CC52EFAA"/>
    <w:lvl w:ilvl="0" w:tplc="0C0A000F">
      <w:start w:val="1"/>
      <w:numFmt w:val="decimal"/>
      <w:lvlText w:val="%1."/>
      <w:lvlJc w:val="left"/>
      <w:pPr>
        <w:tabs>
          <w:tab w:val="num" w:pos="1080"/>
        </w:tabs>
        <w:ind w:left="108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E216F8F"/>
    <w:multiLevelType w:val="hybridMultilevel"/>
    <w:tmpl w:val="25CC766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F504CF4"/>
    <w:multiLevelType w:val="hybridMultilevel"/>
    <w:tmpl w:val="F09C195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00E4B8E"/>
    <w:multiLevelType w:val="hybridMultilevel"/>
    <w:tmpl w:val="6AB2C958"/>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76B3339"/>
    <w:multiLevelType w:val="multilevel"/>
    <w:tmpl w:val="03A07D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37C28A3"/>
    <w:multiLevelType w:val="hybridMultilevel"/>
    <w:tmpl w:val="A3FA5AAA"/>
    <w:lvl w:ilvl="0" w:tplc="80140466">
      <w:start w:val="1"/>
      <w:numFmt w:val="decimal"/>
      <w:lvlText w:val="%1."/>
      <w:lvlJc w:val="left"/>
      <w:pPr>
        <w:tabs>
          <w:tab w:val="num" w:pos="705"/>
        </w:tabs>
        <w:ind w:left="705" w:hanging="705"/>
      </w:pPr>
      <w:rPr>
        <w:rFonts w:hint="default"/>
      </w:rPr>
    </w:lvl>
    <w:lvl w:ilvl="1" w:tplc="314ECA26">
      <w:numFmt w:val="none"/>
      <w:lvlText w:val=""/>
      <w:lvlJc w:val="left"/>
      <w:pPr>
        <w:tabs>
          <w:tab w:val="num" w:pos="360"/>
        </w:tabs>
      </w:pPr>
    </w:lvl>
    <w:lvl w:ilvl="2" w:tplc="CB1A406C">
      <w:numFmt w:val="none"/>
      <w:lvlText w:val=""/>
      <w:lvlJc w:val="left"/>
      <w:pPr>
        <w:tabs>
          <w:tab w:val="num" w:pos="360"/>
        </w:tabs>
      </w:pPr>
    </w:lvl>
    <w:lvl w:ilvl="3" w:tplc="E1AC11EE">
      <w:numFmt w:val="none"/>
      <w:lvlText w:val=""/>
      <w:lvlJc w:val="left"/>
      <w:pPr>
        <w:tabs>
          <w:tab w:val="num" w:pos="360"/>
        </w:tabs>
      </w:pPr>
    </w:lvl>
    <w:lvl w:ilvl="4" w:tplc="48262BF2">
      <w:numFmt w:val="none"/>
      <w:lvlText w:val=""/>
      <w:lvlJc w:val="left"/>
      <w:pPr>
        <w:tabs>
          <w:tab w:val="num" w:pos="360"/>
        </w:tabs>
      </w:pPr>
    </w:lvl>
    <w:lvl w:ilvl="5" w:tplc="2BACD2E4">
      <w:numFmt w:val="none"/>
      <w:lvlText w:val=""/>
      <w:lvlJc w:val="left"/>
      <w:pPr>
        <w:tabs>
          <w:tab w:val="num" w:pos="360"/>
        </w:tabs>
      </w:pPr>
    </w:lvl>
    <w:lvl w:ilvl="6" w:tplc="F32ED814">
      <w:numFmt w:val="none"/>
      <w:lvlText w:val=""/>
      <w:lvlJc w:val="left"/>
      <w:pPr>
        <w:tabs>
          <w:tab w:val="num" w:pos="360"/>
        </w:tabs>
      </w:pPr>
    </w:lvl>
    <w:lvl w:ilvl="7" w:tplc="F6106BE8">
      <w:numFmt w:val="none"/>
      <w:lvlText w:val=""/>
      <w:lvlJc w:val="left"/>
      <w:pPr>
        <w:tabs>
          <w:tab w:val="num" w:pos="360"/>
        </w:tabs>
      </w:pPr>
    </w:lvl>
    <w:lvl w:ilvl="8" w:tplc="328ED670">
      <w:numFmt w:val="none"/>
      <w:lvlText w:val=""/>
      <w:lvlJc w:val="left"/>
      <w:pPr>
        <w:tabs>
          <w:tab w:val="num" w:pos="360"/>
        </w:tabs>
      </w:pPr>
    </w:lvl>
  </w:abstractNum>
  <w:abstractNum w:abstractNumId="43" w15:restartNumberingAfterBreak="0">
    <w:nsid w:val="756862E7"/>
    <w:multiLevelType w:val="hybridMultilevel"/>
    <w:tmpl w:val="FA3680B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8D31AA8"/>
    <w:multiLevelType w:val="hybridMultilevel"/>
    <w:tmpl w:val="8AE025F6"/>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15:restartNumberingAfterBreak="0">
    <w:nsid w:val="7ED3412C"/>
    <w:multiLevelType w:val="hybridMultilevel"/>
    <w:tmpl w:val="9B2A11D2"/>
    <w:lvl w:ilvl="0" w:tplc="0C0A0013">
      <w:start w:val="1"/>
      <w:numFmt w:val="upperRoman"/>
      <w:lvlText w:val="%1."/>
      <w:lvlJc w:val="right"/>
      <w:pPr>
        <w:tabs>
          <w:tab w:val="num" w:pos="888"/>
        </w:tabs>
        <w:ind w:left="888" w:hanging="18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16cid:durableId="61099396">
    <w:abstractNumId w:val="10"/>
  </w:num>
  <w:num w:numId="2" w16cid:durableId="276646797">
    <w:abstractNumId w:val="42"/>
  </w:num>
  <w:num w:numId="3" w16cid:durableId="304314182">
    <w:abstractNumId w:val="27"/>
  </w:num>
  <w:num w:numId="4" w16cid:durableId="128016209">
    <w:abstractNumId w:val="2"/>
  </w:num>
  <w:num w:numId="5" w16cid:durableId="1797482680">
    <w:abstractNumId w:val="1"/>
  </w:num>
  <w:num w:numId="6" w16cid:durableId="371199657">
    <w:abstractNumId w:val="0"/>
  </w:num>
  <w:num w:numId="7" w16cid:durableId="259025343">
    <w:abstractNumId w:val="43"/>
  </w:num>
  <w:num w:numId="8" w16cid:durableId="294681252">
    <w:abstractNumId w:val="12"/>
  </w:num>
  <w:num w:numId="9" w16cid:durableId="994333713">
    <w:abstractNumId w:val="36"/>
  </w:num>
  <w:num w:numId="10" w16cid:durableId="1728215070">
    <w:abstractNumId w:val="14"/>
  </w:num>
  <w:num w:numId="11" w16cid:durableId="1755323154">
    <w:abstractNumId w:val="26"/>
  </w:num>
  <w:num w:numId="12" w16cid:durableId="1088884568">
    <w:abstractNumId w:val="5"/>
  </w:num>
  <w:num w:numId="13" w16cid:durableId="1284192740">
    <w:abstractNumId w:val="18"/>
  </w:num>
  <w:num w:numId="14" w16cid:durableId="333803806">
    <w:abstractNumId w:val="25"/>
  </w:num>
  <w:num w:numId="15" w16cid:durableId="1373967229">
    <w:abstractNumId w:val="11"/>
  </w:num>
  <w:num w:numId="16" w16cid:durableId="1207984793">
    <w:abstractNumId w:val="13"/>
  </w:num>
  <w:num w:numId="17" w16cid:durableId="1278028133">
    <w:abstractNumId w:val="8"/>
  </w:num>
  <w:num w:numId="18" w16cid:durableId="1025791798">
    <w:abstractNumId w:val="45"/>
  </w:num>
  <w:num w:numId="19" w16cid:durableId="48892057">
    <w:abstractNumId w:val="38"/>
  </w:num>
  <w:num w:numId="20" w16cid:durableId="316036704">
    <w:abstractNumId w:val="20"/>
  </w:num>
  <w:num w:numId="21" w16cid:durableId="1707945384">
    <w:abstractNumId w:val="15"/>
  </w:num>
  <w:num w:numId="22" w16cid:durableId="895970252">
    <w:abstractNumId w:val="16"/>
  </w:num>
  <w:num w:numId="23" w16cid:durableId="1189028956">
    <w:abstractNumId w:val="7"/>
  </w:num>
  <w:num w:numId="24" w16cid:durableId="182984977">
    <w:abstractNumId w:val="24"/>
  </w:num>
  <w:num w:numId="25" w16cid:durableId="1308046467">
    <w:abstractNumId w:val="37"/>
  </w:num>
  <w:num w:numId="26" w16cid:durableId="988627901">
    <w:abstractNumId w:val="23"/>
  </w:num>
  <w:num w:numId="27" w16cid:durableId="1750541855">
    <w:abstractNumId w:val="44"/>
  </w:num>
  <w:num w:numId="28" w16cid:durableId="464785227">
    <w:abstractNumId w:val="6"/>
  </w:num>
  <w:num w:numId="29" w16cid:durableId="1779983345">
    <w:abstractNumId w:val="21"/>
  </w:num>
  <w:num w:numId="30" w16cid:durableId="1708144449">
    <w:abstractNumId w:val="19"/>
  </w:num>
  <w:num w:numId="31" w16cid:durableId="1893760586">
    <w:abstractNumId w:val="39"/>
  </w:num>
  <w:num w:numId="32" w16cid:durableId="650601886">
    <w:abstractNumId w:val="32"/>
  </w:num>
  <w:num w:numId="33" w16cid:durableId="742991959">
    <w:abstractNumId w:val="4"/>
  </w:num>
  <w:num w:numId="34" w16cid:durableId="1335104870">
    <w:abstractNumId w:val="29"/>
  </w:num>
  <w:num w:numId="35" w16cid:durableId="528878318">
    <w:abstractNumId w:val="9"/>
  </w:num>
  <w:num w:numId="36" w16cid:durableId="228005336">
    <w:abstractNumId w:val="28"/>
  </w:num>
  <w:num w:numId="37" w16cid:durableId="608124896">
    <w:abstractNumId w:val="34"/>
  </w:num>
  <w:num w:numId="38" w16cid:durableId="1109928529">
    <w:abstractNumId w:val="22"/>
  </w:num>
  <w:num w:numId="39" w16cid:durableId="467360707">
    <w:abstractNumId w:val="31"/>
  </w:num>
  <w:num w:numId="40" w16cid:durableId="180974853">
    <w:abstractNumId w:val="41"/>
  </w:num>
  <w:num w:numId="41" w16cid:durableId="53547020">
    <w:abstractNumId w:val="17"/>
  </w:num>
  <w:num w:numId="42" w16cid:durableId="1324893765">
    <w:abstractNumId w:val="30"/>
  </w:num>
  <w:num w:numId="43" w16cid:durableId="50541982">
    <w:abstractNumId w:val="3"/>
  </w:num>
  <w:num w:numId="44" w16cid:durableId="837692453">
    <w:abstractNumId w:val="35"/>
  </w:num>
  <w:num w:numId="45" w16cid:durableId="1421677342">
    <w:abstractNumId w:val="40"/>
  </w:num>
  <w:num w:numId="46" w16cid:durableId="5031317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35"/>
    <w:rsid w:val="00022CE1"/>
    <w:rsid w:val="00023FDB"/>
    <w:rsid w:val="00026E3E"/>
    <w:rsid w:val="00027DB4"/>
    <w:rsid w:val="00034082"/>
    <w:rsid w:val="00043B3D"/>
    <w:rsid w:val="00047316"/>
    <w:rsid w:val="000520FA"/>
    <w:rsid w:val="000545A8"/>
    <w:rsid w:val="00062ACE"/>
    <w:rsid w:val="00063B7E"/>
    <w:rsid w:val="000779CA"/>
    <w:rsid w:val="000963E4"/>
    <w:rsid w:val="000A771B"/>
    <w:rsid w:val="000A7CC4"/>
    <w:rsid w:val="000B015A"/>
    <w:rsid w:val="000B0598"/>
    <w:rsid w:val="000C74D7"/>
    <w:rsid w:val="000D147B"/>
    <w:rsid w:val="000D1E9D"/>
    <w:rsid w:val="000F5331"/>
    <w:rsid w:val="000F645B"/>
    <w:rsid w:val="000F65DC"/>
    <w:rsid w:val="000F6CB5"/>
    <w:rsid w:val="0011119D"/>
    <w:rsid w:val="00120DA4"/>
    <w:rsid w:val="00122FED"/>
    <w:rsid w:val="001258E1"/>
    <w:rsid w:val="00127E9C"/>
    <w:rsid w:val="0015117B"/>
    <w:rsid w:val="001543F0"/>
    <w:rsid w:val="00186690"/>
    <w:rsid w:val="00190EE7"/>
    <w:rsid w:val="001922C8"/>
    <w:rsid w:val="001A6AA6"/>
    <w:rsid w:val="001A6B7D"/>
    <w:rsid w:val="001A789E"/>
    <w:rsid w:val="001B14E8"/>
    <w:rsid w:val="001B1AF0"/>
    <w:rsid w:val="001D1F3B"/>
    <w:rsid w:val="001D6541"/>
    <w:rsid w:val="00232EE0"/>
    <w:rsid w:val="00235BA9"/>
    <w:rsid w:val="00242982"/>
    <w:rsid w:val="00256E05"/>
    <w:rsid w:val="002728EF"/>
    <w:rsid w:val="002758C1"/>
    <w:rsid w:val="00281FAD"/>
    <w:rsid w:val="00284B40"/>
    <w:rsid w:val="00295A62"/>
    <w:rsid w:val="00297A84"/>
    <w:rsid w:val="002A09D2"/>
    <w:rsid w:val="002A5544"/>
    <w:rsid w:val="002A775A"/>
    <w:rsid w:val="002B6E99"/>
    <w:rsid w:val="002F18AC"/>
    <w:rsid w:val="002F4A2A"/>
    <w:rsid w:val="00300CAC"/>
    <w:rsid w:val="00305D75"/>
    <w:rsid w:val="00316E05"/>
    <w:rsid w:val="0032315B"/>
    <w:rsid w:val="0033410A"/>
    <w:rsid w:val="00356EE5"/>
    <w:rsid w:val="00357BB2"/>
    <w:rsid w:val="00362B1E"/>
    <w:rsid w:val="00366562"/>
    <w:rsid w:val="00371D27"/>
    <w:rsid w:val="0037411F"/>
    <w:rsid w:val="00374F5A"/>
    <w:rsid w:val="003760B7"/>
    <w:rsid w:val="003918C3"/>
    <w:rsid w:val="003B1C7E"/>
    <w:rsid w:val="003C581D"/>
    <w:rsid w:val="003E3CC3"/>
    <w:rsid w:val="003E5275"/>
    <w:rsid w:val="003F7BBD"/>
    <w:rsid w:val="00403008"/>
    <w:rsid w:val="00404078"/>
    <w:rsid w:val="00404235"/>
    <w:rsid w:val="004043B0"/>
    <w:rsid w:val="0040661C"/>
    <w:rsid w:val="004067A5"/>
    <w:rsid w:val="00410CAB"/>
    <w:rsid w:val="00417DC5"/>
    <w:rsid w:val="00425937"/>
    <w:rsid w:val="00425C81"/>
    <w:rsid w:val="00432575"/>
    <w:rsid w:val="0044428D"/>
    <w:rsid w:val="00451E47"/>
    <w:rsid w:val="0045462B"/>
    <w:rsid w:val="004766C8"/>
    <w:rsid w:val="00477D48"/>
    <w:rsid w:val="004913AA"/>
    <w:rsid w:val="004A4DD9"/>
    <w:rsid w:val="004C15F9"/>
    <w:rsid w:val="004C2087"/>
    <w:rsid w:val="004C64FE"/>
    <w:rsid w:val="004D5BBF"/>
    <w:rsid w:val="004F111A"/>
    <w:rsid w:val="00506FC2"/>
    <w:rsid w:val="00513233"/>
    <w:rsid w:val="005168CB"/>
    <w:rsid w:val="00544ECB"/>
    <w:rsid w:val="00545FC0"/>
    <w:rsid w:val="00563DAB"/>
    <w:rsid w:val="00564B20"/>
    <w:rsid w:val="00573E4B"/>
    <w:rsid w:val="00581497"/>
    <w:rsid w:val="005869C7"/>
    <w:rsid w:val="005A24DF"/>
    <w:rsid w:val="005D51F0"/>
    <w:rsid w:val="005F6693"/>
    <w:rsid w:val="0060679F"/>
    <w:rsid w:val="00621A24"/>
    <w:rsid w:val="0064423D"/>
    <w:rsid w:val="00644978"/>
    <w:rsid w:val="00652368"/>
    <w:rsid w:val="00655C9D"/>
    <w:rsid w:val="00664B83"/>
    <w:rsid w:val="00674A19"/>
    <w:rsid w:val="006833EE"/>
    <w:rsid w:val="00684928"/>
    <w:rsid w:val="006A5D15"/>
    <w:rsid w:val="006B29A5"/>
    <w:rsid w:val="006B56BB"/>
    <w:rsid w:val="006B7ACD"/>
    <w:rsid w:val="006C2208"/>
    <w:rsid w:val="006D2615"/>
    <w:rsid w:val="006D4537"/>
    <w:rsid w:val="006E30A8"/>
    <w:rsid w:val="006F70A6"/>
    <w:rsid w:val="006F7746"/>
    <w:rsid w:val="00702067"/>
    <w:rsid w:val="00704C50"/>
    <w:rsid w:val="00716050"/>
    <w:rsid w:val="0072207A"/>
    <w:rsid w:val="00727371"/>
    <w:rsid w:val="00727A8A"/>
    <w:rsid w:val="00734232"/>
    <w:rsid w:val="0075215C"/>
    <w:rsid w:val="00774E13"/>
    <w:rsid w:val="00791681"/>
    <w:rsid w:val="007A0869"/>
    <w:rsid w:val="007A55C7"/>
    <w:rsid w:val="007A7834"/>
    <w:rsid w:val="007B0692"/>
    <w:rsid w:val="007B4437"/>
    <w:rsid w:val="007B7933"/>
    <w:rsid w:val="007C0F8A"/>
    <w:rsid w:val="007C1E2C"/>
    <w:rsid w:val="007E4209"/>
    <w:rsid w:val="007F08AB"/>
    <w:rsid w:val="008068AF"/>
    <w:rsid w:val="008078CF"/>
    <w:rsid w:val="00821E44"/>
    <w:rsid w:val="00824B7C"/>
    <w:rsid w:val="00827096"/>
    <w:rsid w:val="00836A72"/>
    <w:rsid w:val="0084010C"/>
    <w:rsid w:val="0086633A"/>
    <w:rsid w:val="008664A7"/>
    <w:rsid w:val="008854FF"/>
    <w:rsid w:val="008948E8"/>
    <w:rsid w:val="008B046D"/>
    <w:rsid w:val="008B1166"/>
    <w:rsid w:val="008B2EE6"/>
    <w:rsid w:val="008B697F"/>
    <w:rsid w:val="008C66CB"/>
    <w:rsid w:val="008C78C6"/>
    <w:rsid w:val="008D1DF6"/>
    <w:rsid w:val="008E0BF6"/>
    <w:rsid w:val="008E22B5"/>
    <w:rsid w:val="008E4990"/>
    <w:rsid w:val="008E6CDC"/>
    <w:rsid w:val="008F2A41"/>
    <w:rsid w:val="008F5381"/>
    <w:rsid w:val="00903F36"/>
    <w:rsid w:val="0090426E"/>
    <w:rsid w:val="00904A52"/>
    <w:rsid w:val="00927940"/>
    <w:rsid w:val="0093488A"/>
    <w:rsid w:val="009719E7"/>
    <w:rsid w:val="009822DF"/>
    <w:rsid w:val="00982AE4"/>
    <w:rsid w:val="0098681C"/>
    <w:rsid w:val="0099436F"/>
    <w:rsid w:val="0099626C"/>
    <w:rsid w:val="00996B0A"/>
    <w:rsid w:val="00997CB7"/>
    <w:rsid w:val="009A1CFB"/>
    <w:rsid w:val="009A55F6"/>
    <w:rsid w:val="009D1FC0"/>
    <w:rsid w:val="009E59F4"/>
    <w:rsid w:val="009E71C5"/>
    <w:rsid w:val="009F3C2A"/>
    <w:rsid w:val="009F78C7"/>
    <w:rsid w:val="00A164B8"/>
    <w:rsid w:val="00A33CE8"/>
    <w:rsid w:val="00A34E6C"/>
    <w:rsid w:val="00A45207"/>
    <w:rsid w:val="00A4749B"/>
    <w:rsid w:val="00A51AA4"/>
    <w:rsid w:val="00A56ED4"/>
    <w:rsid w:val="00A57330"/>
    <w:rsid w:val="00A60F12"/>
    <w:rsid w:val="00A61CAF"/>
    <w:rsid w:val="00A714B1"/>
    <w:rsid w:val="00A76A9E"/>
    <w:rsid w:val="00AA216F"/>
    <w:rsid w:val="00AA5D2A"/>
    <w:rsid w:val="00AA7650"/>
    <w:rsid w:val="00AA7F40"/>
    <w:rsid w:val="00AB103C"/>
    <w:rsid w:val="00AB7448"/>
    <w:rsid w:val="00AC0FDE"/>
    <w:rsid w:val="00AC27BD"/>
    <w:rsid w:val="00AC287A"/>
    <w:rsid w:val="00B03CDF"/>
    <w:rsid w:val="00B05C8F"/>
    <w:rsid w:val="00B13224"/>
    <w:rsid w:val="00B17EC0"/>
    <w:rsid w:val="00B30344"/>
    <w:rsid w:val="00B33223"/>
    <w:rsid w:val="00B45A7E"/>
    <w:rsid w:val="00B51F39"/>
    <w:rsid w:val="00B54E29"/>
    <w:rsid w:val="00B6168F"/>
    <w:rsid w:val="00B84D21"/>
    <w:rsid w:val="00BA3340"/>
    <w:rsid w:val="00BA35DE"/>
    <w:rsid w:val="00BA67AE"/>
    <w:rsid w:val="00BB296E"/>
    <w:rsid w:val="00BB3603"/>
    <w:rsid w:val="00BB37DA"/>
    <w:rsid w:val="00BB5FDF"/>
    <w:rsid w:val="00BC13D7"/>
    <w:rsid w:val="00BD2212"/>
    <w:rsid w:val="00BE2EE8"/>
    <w:rsid w:val="00BE3014"/>
    <w:rsid w:val="00BE55E6"/>
    <w:rsid w:val="00BE7949"/>
    <w:rsid w:val="00BF0CA1"/>
    <w:rsid w:val="00BF656D"/>
    <w:rsid w:val="00BF7874"/>
    <w:rsid w:val="00C028F1"/>
    <w:rsid w:val="00C21A18"/>
    <w:rsid w:val="00C32EC6"/>
    <w:rsid w:val="00C33FD2"/>
    <w:rsid w:val="00C340E1"/>
    <w:rsid w:val="00C55DA4"/>
    <w:rsid w:val="00C83E13"/>
    <w:rsid w:val="00C8742D"/>
    <w:rsid w:val="00CA0F27"/>
    <w:rsid w:val="00CA27FB"/>
    <w:rsid w:val="00CA530B"/>
    <w:rsid w:val="00CB2A6C"/>
    <w:rsid w:val="00CD153D"/>
    <w:rsid w:val="00CD33D4"/>
    <w:rsid w:val="00D071C4"/>
    <w:rsid w:val="00D124CE"/>
    <w:rsid w:val="00D13FC3"/>
    <w:rsid w:val="00D1694F"/>
    <w:rsid w:val="00D31798"/>
    <w:rsid w:val="00D32A13"/>
    <w:rsid w:val="00D34D11"/>
    <w:rsid w:val="00D42D4C"/>
    <w:rsid w:val="00D71890"/>
    <w:rsid w:val="00D71997"/>
    <w:rsid w:val="00D914A4"/>
    <w:rsid w:val="00DA4682"/>
    <w:rsid w:val="00DA64F0"/>
    <w:rsid w:val="00DD21E6"/>
    <w:rsid w:val="00DD4609"/>
    <w:rsid w:val="00DD78DF"/>
    <w:rsid w:val="00DF3624"/>
    <w:rsid w:val="00E01773"/>
    <w:rsid w:val="00E24EBB"/>
    <w:rsid w:val="00E416CF"/>
    <w:rsid w:val="00E41B96"/>
    <w:rsid w:val="00E435E8"/>
    <w:rsid w:val="00E470DD"/>
    <w:rsid w:val="00E47C9B"/>
    <w:rsid w:val="00E530A0"/>
    <w:rsid w:val="00E60C1D"/>
    <w:rsid w:val="00E62333"/>
    <w:rsid w:val="00E625CB"/>
    <w:rsid w:val="00E64C83"/>
    <w:rsid w:val="00E655E5"/>
    <w:rsid w:val="00E66DC8"/>
    <w:rsid w:val="00E77E01"/>
    <w:rsid w:val="00E93C1D"/>
    <w:rsid w:val="00E979D9"/>
    <w:rsid w:val="00EA1049"/>
    <w:rsid w:val="00EB26B9"/>
    <w:rsid w:val="00EC0068"/>
    <w:rsid w:val="00EC341B"/>
    <w:rsid w:val="00EC542C"/>
    <w:rsid w:val="00EC6395"/>
    <w:rsid w:val="00ED37AC"/>
    <w:rsid w:val="00ED47D3"/>
    <w:rsid w:val="00EE0548"/>
    <w:rsid w:val="00EE3537"/>
    <w:rsid w:val="00F1067C"/>
    <w:rsid w:val="00F20EA6"/>
    <w:rsid w:val="00F25D24"/>
    <w:rsid w:val="00F32DEC"/>
    <w:rsid w:val="00F47BE8"/>
    <w:rsid w:val="00F552E5"/>
    <w:rsid w:val="00F6044F"/>
    <w:rsid w:val="00F70423"/>
    <w:rsid w:val="00F70A31"/>
    <w:rsid w:val="00F822C8"/>
    <w:rsid w:val="00F9082E"/>
    <w:rsid w:val="00FA0B10"/>
    <w:rsid w:val="00FB0CAA"/>
    <w:rsid w:val="00FB2FA0"/>
    <w:rsid w:val="00FC3F04"/>
    <w:rsid w:val="00FD6C7A"/>
    <w:rsid w:val="00FE2B60"/>
    <w:rsid w:val="00FE7426"/>
    <w:rsid w:val="00FF6F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02D42"/>
  <w15:chartTrackingRefBased/>
  <w15:docId w15:val="{12BA22C4-7834-4F1A-85B9-6C2523D1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lang w:val="es-ES"/>
    </w:rPr>
  </w:style>
  <w:style w:type="paragraph" w:styleId="Ttulo2">
    <w:name w:val="heading 2"/>
    <w:basedOn w:val="Normal"/>
    <w:next w:val="Normal"/>
    <w:qFormat/>
    <w:pPr>
      <w:keepNext/>
      <w:tabs>
        <w:tab w:val="left" w:pos="-720"/>
      </w:tabs>
      <w:jc w:val="both"/>
      <w:outlineLvl w:val="1"/>
    </w:pPr>
    <w:rPr>
      <w:rFonts w:ascii="Arial" w:hAnsi="Arial"/>
      <w:b/>
      <w:sz w:val="18"/>
      <w:lang w:val="es-CO" w:eastAsia="es-CO"/>
    </w:rPr>
  </w:style>
  <w:style w:type="paragraph" w:styleId="Ttulo3">
    <w:name w:val="heading 3"/>
    <w:basedOn w:val="Normal"/>
    <w:next w:val="Normal"/>
    <w:link w:val="Ttulo3Car"/>
    <w:semiHidden/>
    <w:unhideWhenUsed/>
    <w:qFormat/>
    <w:rsid w:val="006833EE"/>
    <w:pPr>
      <w:keepNext/>
      <w:spacing w:before="240" w:after="60"/>
      <w:outlineLvl w:val="2"/>
    </w:pPr>
    <w:rPr>
      <w:rFonts w:ascii="Aptos Display" w:hAnsi="Aptos Display"/>
      <w:b/>
      <w:bCs/>
      <w:sz w:val="26"/>
      <w:szCs w:val="26"/>
    </w:rPr>
  </w:style>
  <w:style w:type="paragraph" w:styleId="Ttulo4">
    <w:name w:val="heading 4"/>
    <w:basedOn w:val="Normal"/>
    <w:next w:val="Normal"/>
    <w:qFormat/>
    <w:pPr>
      <w:keepNext/>
      <w:spacing w:before="240" w:after="60"/>
      <w:outlineLvl w:val="3"/>
    </w:pPr>
    <w:rPr>
      <w:b/>
      <w:bCs/>
      <w:sz w:val="28"/>
      <w:szCs w:val="28"/>
      <w:lang w:val="es-ES"/>
    </w:rPr>
  </w:style>
  <w:style w:type="paragraph" w:styleId="Ttulo5">
    <w:name w:val="heading 5"/>
    <w:basedOn w:val="Normal"/>
    <w:next w:val="Normal"/>
    <w:qFormat/>
    <w:pPr>
      <w:spacing w:before="240" w:after="60"/>
      <w:outlineLvl w:val="4"/>
    </w:pPr>
    <w:rPr>
      <w:b/>
      <w:bCs/>
      <w:i/>
      <w:iCs/>
      <w:sz w:val="26"/>
      <w:szCs w:val="26"/>
      <w:lang w:val="es-ES"/>
    </w:rPr>
  </w:style>
  <w:style w:type="paragraph" w:styleId="Ttulo8">
    <w:name w:val="heading 8"/>
    <w:basedOn w:val="Normal"/>
    <w:next w:val="Normal"/>
    <w:qFormat/>
    <w:pPr>
      <w:keepNext/>
      <w:tabs>
        <w:tab w:val="left" w:pos="-720"/>
      </w:tabs>
      <w:jc w:val="both"/>
      <w:outlineLvl w:val="7"/>
    </w:pPr>
    <w:rPr>
      <w:rFonts w:ascii="Arial" w:hAnsi="Arial"/>
      <w:spacing w:val="20"/>
      <w:sz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spacing w:val="20"/>
      <w:sz w:val="24"/>
      <w:szCs w:val="24"/>
      <w:lang w:val="es-MX"/>
    </w:rPr>
  </w:style>
  <w:style w:type="character" w:styleId="Hipervnculo">
    <w:name w:val="Hyperlink"/>
    <w:rPr>
      <w:color w:val="0000FF"/>
      <w:u w:val="single"/>
    </w:rPr>
  </w:style>
  <w:style w:type="character" w:styleId="Textoennegrita">
    <w:name w:val="Strong"/>
    <w:qFormat/>
    <w:rPr>
      <w:b/>
      <w:bCs/>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deglobo">
    <w:name w:val="Balloon Text"/>
    <w:basedOn w:val="Normal"/>
    <w:semiHidden/>
    <w:rPr>
      <w:rFonts w:ascii="Tahoma" w:hAnsi="Tahoma" w:cs="Tahoma"/>
      <w:sz w:val="16"/>
      <w:szCs w:val="16"/>
    </w:rPr>
  </w:style>
  <w:style w:type="paragraph" w:styleId="Textoindependiente2">
    <w:name w:val="Body Text 2"/>
    <w:basedOn w:val="Normal"/>
    <w:pPr>
      <w:spacing w:after="120" w:line="480" w:lineRule="auto"/>
    </w:pPr>
  </w:style>
  <w:style w:type="paragraph" w:customStyle="1" w:styleId="Puesto">
    <w:name w:val="Puesto"/>
    <w:basedOn w:val="Normal"/>
    <w:qFormat/>
    <w:pPr>
      <w:suppressAutoHyphens/>
      <w:ind w:right="-136"/>
      <w:jc w:val="center"/>
    </w:pPr>
    <w:rPr>
      <w:rFonts w:ascii="Arial" w:hAnsi="Arial"/>
      <w:b/>
      <w:spacing w:val="20"/>
      <w:lang w:val="es-CO" w:eastAsia="es-CO"/>
    </w:rPr>
  </w:style>
  <w:style w:type="paragraph" w:styleId="Textocomentario">
    <w:name w:val="annotation text"/>
    <w:basedOn w:val="Normal"/>
    <w:semiHidden/>
    <w:rPr>
      <w:lang w:val="es-ES"/>
    </w:rPr>
  </w:style>
  <w:style w:type="paragraph" w:customStyle="1" w:styleId="BodyText21">
    <w:name w:val="Body Text 21"/>
    <w:basedOn w:val="Normal"/>
    <w:pPr>
      <w:tabs>
        <w:tab w:val="left" w:pos="-720"/>
      </w:tabs>
      <w:jc w:val="both"/>
    </w:pPr>
    <w:rPr>
      <w:rFonts w:ascii="Arial" w:hAnsi="Arial"/>
      <w:spacing w:val="20"/>
      <w:sz w:val="16"/>
      <w:lang w:val="es-CO" w:eastAsia="es-CO"/>
    </w:rPr>
  </w:style>
  <w:style w:type="paragraph" w:styleId="Textoindependiente3">
    <w:name w:val="Body Text 3"/>
    <w:basedOn w:val="Normal"/>
    <w:pPr>
      <w:spacing w:after="120"/>
    </w:pPr>
    <w:rPr>
      <w:sz w:val="16"/>
      <w:szCs w:val="16"/>
      <w:lang w:val="es-ES"/>
    </w:rPr>
  </w:style>
  <w:style w:type="character" w:styleId="Nmerodepgina">
    <w:name w:val="page number"/>
    <w:basedOn w:val="Fuentedeprrafopredeter"/>
  </w:style>
  <w:style w:type="paragraph" w:styleId="Listaconvietas">
    <w:name w:val="List Bullet"/>
    <w:basedOn w:val="Normal"/>
    <w:autoRedefine/>
    <w:pPr>
      <w:numPr>
        <w:numId w:val="43"/>
      </w:numPr>
      <w:tabs>
        <w:tab w:val="clear" w:pos="360"/>
      </w:tabs>
      <w:ind w:left="0" w:right="51" w:firstLine="0"/>
      <w:jc w:val="both"/>
    </w:pPr>
    <w:rPr>
      <w:rFonts w:ascii="Arial" w:hAnsi="Arial" w:cs="Arial"/>
      <w:sz w:val="24"/>
      <w:szCs w:val="24"/>
      <w:lang w:eastAsia="es-CO"/>
    </w:rPr>
  </w:style>
  <w:style w:type="paragraph" w:styleId="Sangradetextonormal">
    <w:name w:val="Body Text Indent"/>
    <w:basedOn w:val="Normal"/>
    <w:pPr>
      <w:spacing w:after="120"/>
      <w:ind w:left="283"/>
    </w:pPr>
    <w:rPr>
      <w:sz w:val="24"/>
      <w:szCs w:val="24"/>
      <w:lang w:val="es-ES"/>
    </w:rPr>
  </w:style>
  <w:style w:type="paragraph" w:customStyle="1" w:styleId="Textoindependiente21">
    <w:name w:val="Texto independiente 21"/>
    <w:basedOn w:val="Normal"/>
    <w:pPr>
      <w:overflowPunct w:val="0"/>
      <w:autoSpaceDE w:val="0"/>
      <w:autoSpaceDN w:val="0"/>
      <w:adjustRightInd w:val="0"/>
      <w:spacing w:line="360" w:lineRule="auto"/>
      <w:jc w:val="both"/>
      <w:textAlignment w:val="baseline"/>
    </w:pPr>
    <w:rPr>
      <w:b/>
      <w:sz w:val="24"/>
      <w:lang w:val="es-ES"/>
    </w:rPr>
  </w:style>
  <w:style w:type="paragraph" w:customStyle="1" w:styleId="Ttulo10">
    <w:name w:val="TÍtulo 1"/>
    <w:basedOn w:val="Normal"/>
    <w:next w:val="Normal"/>
    <w:pPr>
      <w:keepNext/>
      <w:jc w:val="both"/>
    </w:pPr>
    <w:rPr>
      <w:rFonts w:ascii="Arial" w:hAnsi="Arial"/>
      <w:sz w:val="24"/>
      <w:lang w:val="es-ES"/>
    </w:rPr>
  </w:style>
  <w:style w:type="character" w:customStyle="1" w:styleId="elema1">
    <w:name w:val="elema1"/>
    <w:rPr>
      <w:color w:val="0000FF"/>
      <w:sz w:val="30"/>
      <w:szCs w:val="30"/>
    </w:rPr>
  </w:style>
  <w:style w:type="character" w:customStyle="1" w:styleId="eetimo1">
    <w:name w:val="eetimo1"/>
    <w:rPr>
      <w:rFonts w:ascii="Arial Unicode MS" w:eastAsia="Arial Unicode MS" w:hAnsi="Arial Unicode MS" w:cs="Arial Unicode MS" w:hint="eastAsia"/>
      <w:color w:val="008000"/>
      <w:sz w:val="26"/>
      <w:szCs w:val="26"/>
    </w:rPr>
  </w:style>
  <w:style w:type="character" w:customStyle="1" w:styleId="eordenaceplema1">
    <w:name w:val="eordenaceplema1"/>
    <w:rPr>
      <w:color w:val="0000FF"/>
    </w:rPr>
  </w:style>
  <w:style w:type="character" w:customStyle="1" w:styleId="eabrv1">
    <w:name w:val="eabrv1"/>
    <w:rPr>
      <w:color w:val="0000FF"/>
    </w:rPr>
  </w:style>
  <w:style w:type="character" w:customStyle="1" w:styleId="eacep1">
    <w:name w:val="eacep1"/>
    <w:rPr>
      <w:color w:val="000000"/>
    </w:rPr>
  </w:style>
  <w:style w:type="character" w:customStyle="1" w:styleId="eabrvnoedit1">
    <w:name w:val="eabrvnoedit1"/>
    <w:rPr>
      <w:color w:val="B3B3B3"/>
    </w:rPr>
  </w:style>
  <w:style w:type="character" w:customStyle="1" w:styleId="efcompleja1">
    <w:name w:val="efcompleja1"/>
    <w:rPr>
      <w:color w:val="800000"/>
    </w:rPr>
  </w:style>
  <w:style w:type="character" w:customStyle="1" w:styleId="eordenacepfc1">
    <w:name w:val="eordenacepfc1"/>
    <w:rPr>
      <w:color w:val="800000"/>
    </w:rPr>
  </w:style>
  <w:style w:type="paragraph" w:styleId="Lista">
    <w:name w:val="List"/>
    <w:basedOn w:val="Normal"/>
    <w:pPr>
      <w:ind w:left="283" w:hanging="283"/>
    </w:pPr>
    <w:rPr>
      <w:sz w:val="24"/>
      <w:szCs w:val="24"/>
      <w:lang w:val="es-ES"/>
    </w:rPr>
  </w:style>
  <w:style w:type="paragraph" w:styleId="Lista2">
    <w:name w:val="List 2"/>
    <w:basedOn w:val="Normal"/>
    <w:pPr>
      <w:ind w:left="566" w:hanging="283"/>
    </w:pPr>
    <w:rPr>
      <w:sz w:val="24"/>
      <w:szCs w:val="24"/>
      <w:lang w:val="es-ES"/>
    </w:rPr>
  </w:style>
  <w:style w:type="paragraph" w:styleId="Lista3">
    <w:name w:val="List 3"/>
    <w:basedOn w:val="Normal"/>
    <w:pPr>
      <w:ind w:left="849" w:hanging="283"/>
    </w:pPr>
    <w:rPr>
      <w:sz w:val="24"/>
      <w:szCs w:val="24"/>
      <w:lang w:val="es-ES"/>
    </w:rPr>
  </w:style>
  <w:style w:type="paragraph" w:styleId="Lista4">
    <w:name w:val="List 4"/>
    <w:basedOn w:val="Normal"/>
    <w:pPr>
      <w:ind w:left="1132" w:hanging="283"/>
    </w:pPr>
    <w:rPr>
      <w:sz w:val="24"/>
      <w:szCs w:val="24"/>
      <w:lang w:val="es-ES"/>
    </w:rPr>
  </w:style>
  <w:style w:type="paragraph" w:styleId="Lista5">
    <w:name w:val="List 5"/>
    <w:basedOn w:val="Normal"/>
    <w:pPr>
      <w:ind w:left="1415" w:hanging="283"/>
    </w:pPr>
    <w:rPr>
      <w:sz w:val="24"/>
      <w:szCs w:val="24"/>
      <w:lang w:val="es-ES"/>
    </w:rPr>
  </w:style>
  <w:style w:type="paragraph" w:styleId="Saludo">
    <w:name w:val="Salutation"/>
    <w:basedOn w:val="Normal"/>
    <w:next w:val="Normal"/>
    <w:rPr>
      <w:sz w:val="24"/>
      <w:szCs w:val="24"/>
      <w:lang w:val="es-ES"/>
    </w:rPr>
  </w:style>
  <w:style w:type="paragraph" w:styleId="Listaconvietas2">
    <w:name w:val="List Bullet 2"/>
    <w:basedOn w:val="Normal"/>
    <w:pPr>
      <w:numPr>
        <w:numId w:val="4"/>
      </w:numPr>
    </w:pPr>
    <w:rPr>
      <w:sz w:val="24"/>
      <w:szCs w:val="24"/>
      <w:lang w:val="es-ES"/>
    </w:rPr>
  </w:style>
  <w:style w:type="paragraph" w:styleId="Listaconvietas3">
    <w:name w:val="List Bullet 3"/>
    <w:basedOn w:val="Normal"/>
    <w:pPr>
      <w:numPr>
        <w:numId w:val="5"/>
      </w:numPr>
    </w:pPr>
    <w:rPr>
      <w:sz w:val="24"/>
      <w:szCs w:val="24"/>
      <w:lang w:val="es-ES"/>
    </w:rPr>
  </w:style>
  <w:style w:type="paragraph" w:styleId="Listaconvietas4">
    <w:name w:val="List Bullet 4"/>
    <w:basedOn w:val="Normal"/>
    <w:pPr>
      <w:numPr>
        <w:numId w:val="6"/>
      </w:numPr>
    </w:pPr>
    <w:rPr>
      <w:sz w:val="24"/>
      <w:szCs w:val="24"/>
      <w:lang w:val="es-ES"/>
    </w:rPr>
  </w:style>
  <w:style w:type="paragraph" w:styleId="Continuarlista">
    <w:name w:val="List Continue"/>
    <w:basedOn w:val="Normal"/>
    <w:pPr>
      <w:spacing w:after="120"/>
      <w:ind w:left="283"/>
    </w:pPr>
    <w:rPr>
      <w:sz w:val="24"/>
      <w:szCs w:val="24"/>
      <w:lang w:val="es-ES"/>
    </w:rPr>
  </w:style>
  <w:style w:type="paragraph" w:styleId="Continuarlista2">
    <w:name w:val="List Continue 2"/>
    <w:basedOn w:val="Normal"/>
    <w:pPr>
      <w:spacing w:after="120"/>
      <w:ind w:left="566"/>
    </w:pPr>
    <w:rPr>
      <w:sz w:val="24"/>
      <w:szCs w:val="24"/>
      <w:lang w:val="es-ES"/>
    </w:rPr>
  </w:style>
  <w:style w:type="paragraph" w:styleId="Continuarlista3">
    <w:name w:val="List Continue 3"/>
    <w:basedOn w:val="Normal"/>
    <w:pPr>
      <w:spacing w:after="120"/>
      <w:ind w:left="849"/>
    </w:pPr>
    <w:rPr>
      <w:sz w:val="24"/>
      <w:szCs w:val="24"/>
      <w:lang w:val="es-ES"/>
    </w:r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rPr>
      <w:sz w:val="24"/>
      <w:szCs w:val="24"/>
      <w:lang w:val="es-ES"/>
    </w:rPr>
  </w:style>
  <w:style w:type="paragraph" w:styleId="Mapadeldocumento">
    <w:name w:val="Document Map"/>
    <w:basedOn w:val="Normal"/>
    <w:semiHidden/>
    <w:rsid w:val="00404235"/>
    <w:pPr>
      <w:shd w:val="clear" w:color="auto" w:fill="000080"/>
    </w:pPr>
    <w:rPr>
      <w:rFonts w:ascii="Tahoma" w:hAnsi="Tahoma" w:cs="Tahoma"/>
    </w:rPr>
  </w:style>
  <w:style w:type="character" w:customStyle="1" w:styleId="EncabezadoCar">
    <w:name w:val="Encabezado Car"/>
    <w:link w:val="Encabezado"/>
    <w:rsid w:val="008B2EE6"/>
    <w:rPr>
      <w:lang w:val="es-ES_tradnl" w:eastAsia="es-ES"/>
    </w:rPr>
  </w:style>
  <w:style w:type="character" w:customStyle="1" w:styleId="PiedepginaCar">
    <w:name w:val="Pie de página Car"/>
    <w:link w:val="Piedepgina"/>
    <w:rsid w:val="008B2EE6"/>
    <w:rPr>
      <w:lang w:val="es-ES_tradnl" w:eastAsia="es-ES"/>
    </w:rPr>
  </w:style>
  <w:style w:type="paragraph" w:styleId="Revisin">
    <w:name w:val="Revision"/>
    <w:hidden/>
    <w:uiPriority w:val="99"/>
    <w:semiHidden/>
    <w:rsid w:val="002758C1"/>
    <w:rPr>
      <w:lang w:val="es-ES_tradnl" w:eastAsia="es-ES"/>
    </w:rPr>
  </w:style>
  <w:style w:type="character" w:customStyle="1" w:styleId="Ttulo3Car">
    <w:name w:val="Título 3 Car"/>
    <w:link w:val="Ttulo3"/>
    <w:semiHidden/>
    <w:rsid w:val="006833EE"/>
    <w:rPr>
      <w:rFonts w:ascii="Aptos Display" w:eastAsia="Times New Roman" w:hAnsi="Aptos Display" w:cs="Times New Roman"/>
      <w:b/>
      <w:bCs/>
      <w:sz w:val="26"/>
      <w:szCs w:val="26"/>
      <w:lang w:val="es-ES_tradnl" w:eastAsia="es-ES"/>
    </w:rPr>
  </w:style>
  <w:style w:type="character" w:styleId="Mencinsinresolver">
    <w:name w:val="Unresolved Mention"/>
    <w:uiPriority w:val="99"/>
    <w:semiHidden/>
    <w:unhideWhenUsed/>
    <w:rsid w:val="00683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4936">
      <w:bodyDiv w:val="1"/>
      <w:marLeft w:val="0"/>
      <w:marRight w:val="0"/>
      <w:marTop w:val="0"/>
      <w:marBottom w:val="0"/>
      <w:divBdr>
        <w:top w:val="none" w:sz="0" w:space="0" w:color="auto"/>
        <w:left w:val="none" w:sz="0" w:space="0" w:color="auto"/>
        <w:bottom w:val="none" w:sz="0" w:space="0" w:color="auto"/>
        <w:right w:val="none" w:sz="0" w:space="0" w:color="auto"/>
      </w:divBdr>
    </w:div>
    <w:div w:id="1206604246">
      <w:bodyDiv w:val="1"/>
      <w:marLeft w:val="0"/>
      <w:marRight w:val="0"/>
      <w:marTop w:val="0"/>
      <w:marBottom w:val="0"/>
      <w:divBdr>
        <w:top w:val="none" w:sz="0" w:space="0" w:color="auto"/>
        <w:left w:val="none" w:sz="0" w:space="0" w:color="auto"/>
        <w:bottom w:val="none" w:sz="0" w:space="0" w:color="auto"/>
        <w:right w:val="none" w:sz="0" w:space="0" w:color="auto"/>
      </w:divBdr>
    </w:div>
    <w:div w:id="1513642016">
      <w:bodyDiv w:val="1"/>
      <w:marLeft w:val="0"/>
      <w:marRight w:val="0"/>
      <w:marTop w:val="0"/>
      <w:marBottom w:val="0"/>
      <w:divBdr>
        <w:top w:val="none" w:sz="0" w:space="0" w:color="auto"/>
        <w:left w:val="none" w:sz="0" w:space="0" w:color="auto"/>
        <w:bottom w:val="none" w:sz="0" w:space="0" w:color="auto"/>
        <w:right w:val="none" w:sz="0" w:space="0" w:color="auto"/>
      </w:divBdr>
    </w:div>
    <w:div w:id="1889301177">
      <w:bodyDiv w:val="1"/>
      <w:marLeft w:val="0"/>
      <w:marRight w:val="0"/>
      <w:marTop w:val="0"/>
      <w:marBottom w:val="0"/>
      <w:divBdr>
        <w:top w:val="none" w:sz="0" w:space="0" w:color="auto"/>
        <w:left w:val="none" w:sz="0" w:space="0" w:color="auto"/>
        <w:bottom w:val="none" w:sz="0" w:space="0" w:color="auto"/>
        <w:right w:val="none" w:sz="0" w:space="0" w:color="auto"/>
      </w:divBdr>
    </w:div>
    <w:div w:id="2077196070">
      <w:bodyDiv w:val="1"/>
      <w:marLeft w:val="0"/>
      <w:marRight w:val="0"/>
      <w:marTop w:val="0"/>
      <w:marBottom w:val="0"/>
      <w:divBdr>
        <w:top w:val="none" w:sz="0" w:space="0" w:color="auto"/>
        <w:left w:val="none" w:sz="0" w:space="0" w:color="auto"/>
        <w:bottom w:val="none" w:sz="0" w:space="0" w:color="auto"/>
        <w:right w:val="none" w:sz="0" w:space="0" w:color="auto"/>
      </w:divBdr>
    </w:div>
    <w:div w:id="210252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ormativa@superfinanciera.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E514EE541464F8F7595A839F2928C" ma:contentTypeVersion="6" ma:contentTypeDescription="Create a new document." ma:contentTypeScope="" ma:versionID="81274c0d4460400476357482e224415a">
  <xsd:schema xmlns:xsd="http://www.w3.org/2001/XMLSchema" xmlns:xs="http://www.w3.org/2001/XMLSchema" xmlns:p="http://schemas.microsoft.com/office/2006/metadata/properties" xmlns:ns2="4eab199b-1dc8-42e4-b90c-01bb5f0aff10" xmlns:ns3="e474cb75-285f-4c66-9388-4a0dce14f294" targetNamespace="http://schemas.microsoft.com/office/2006/metadata/properties" ma:root="true" ma:fieldsID="742969cabb51407a8126c01084356fc2" ns2:_="" ns3:_="">
    <xsd:import namespace="4eab199b-1dc8-42e4-b90c-01bb5f0aff10"/>
    <xsd:import namespace="e474cb75-285f-4c66-9388-4a0dce14f2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b199b-1dc8-42e4-b90c-01bb5f0af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4cb75-285f-4c66-9388-4a0dce14f2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6BE6F-2563-4603-A501-124B53462AD4}">
  <ds:schemaRefs>
    <ds:schemaRef ds:uri="http://schemas.microsoft.com/sharepoint/v3/contenttype/forms"/>
  </ds:schemaRefs>
</ds:datastoreItem>
</file>

<file path=customXml/itemProps2.xml><?xml version="1.0" encoding="utf-8"?>
<ds:datastoreItem xmlns:ds="http://schemas.openxmlformats.org/officeDocument/2006/customXml" ds:itemID="{34E8A351-8C8F-48CE-872E-699961DDD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11C020-2017-4D7B-8AF3-929999E6F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b199b-1dc8-42e4-b90c-01bb5f0aff10"/>
    <ds:schemaRef ds:uri="e474cb75-285f-4c66-9388-4a0dce14f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1310</Words>
  <Characters>7207</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Proy CE</vt:lpstr>
    </vt:vector>
  </TitlesOfParts>
  <Company>superfinanciera</Company>
  <LinksUpToDate>false</LinksUpToDate>
  <CharactersWithSpaces>8501</CharactersWithSpaces>
  <SharedDoc>false</SharedDoc>
  <HLinks>
    <vt:vector size="6" baseType="variant">
      <vt:variant>
        <vt:i4>8060936</vt:i4>
      </vt:variant>
      <vt:variant>
        <vt:i4>0</vt:i4>
      </vt:variant>
      <vt:variant>
        <vt:i4>0</vt:i4>
      </vt:variant>
      <vt:variant>
        <vt:i4>5</vt:i4>
      </vt:variant>
      <vt:variant>
        <vt:lpwstr>mailto:normativa@superfinanciera.gov.co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 CE</dc:title>
  <dc:subject/>
  <dc:creator>Dirección de Investigación y Desarrollo</dc:creator>
  <cp:keywords/>
  <cp:lastModifiedBy>Superintendencia Financiera de Colombia</cp:lastModifiedBy>
  <cp:revision>4</cp:revision>
  <cp:lastPrinted>2016-09-26T16:13:00Z</cp:lastPrinted>
  <dcterms:created xsi:type="dcterms:W3CDTF">2025-05-30T21:57:00Z</dcterms:created>
  <dcterms:modified xsi:type="dcterms:W3CDTF">2025-05-30T22:36:00Z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Estado de aprobación">
    <vt:lpwstr/>
  </property>
  <property fmtid="{D5CDD505-2E9C-101B-9397-08002B2CF9AE}" pid="4" name="lcf76f155ced4ddcb4097134ff3c332f">
    <vt:lpwstr/>
  </property>
  <property fmtid="{D5CDD505-2E9C-101B-9397-08002B2CF9AE}" pid="5" name="ContentTypeId">
    <vt:lpwstr>0x010100699E514EE541464F8F7595A839F2928C</vt:lpwstr>
  </property>
</Properties>
</file>